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77B9E">
      <w:pPr>
        <w:shd w:val="clear" w:color="auto" w:fill="D8D8D8" w:themeFill="background1" w:themeFillShade="D9"/>
        <w:jc w:val="center"/>
        <w:rPr>
          <w:rFonts w:ascii="Times New Roman" w:hAnsi="Times New Roman" w:eastAsiaTheme="minorHAnsi"/>
          <w:b/>
          <w:szCs w:val="28"/>
          <w:lang w:eastAsia="en-US"/>
        </w:rPr>
      </w:pPr>
      <w:r>
        <w:rPr>
          <w:rFonts w:ascii="Times New Roman" w:hAnsi="Times New Roman" w:eastAsiaTheme="minorHAnsi"/>
          <w:b/>
          <w:szCs w:val="28"/>
          <w:lang w:eastAsia="en-US"/>
        </w:rPr>
        <w:t>TERMO DE REFERÊNCIA COM FUNDAMENTO NA LEI FEDERAL Nº 14.133/2021</w:t>
      </w:r>
    </w:p>
    <w:p w14:paraId="3E52BBE9">
      <w:pPr>
        <w:jc w:val="both"/>
        <w:rPr>
          <w:rFonts w:ascii="Times New Roman" w:hAnsi="Times New Roman"/>
          <w:szCs w:val="28"/>
          <w:lang w:val="fr-FR"/>
        </w:rPr>
      </w:pPr>
    </w:p>
    <w:tbl>
      <w:tblPr>
        <w:tblStyle w:val="6"/>
        <w:tblW w:w="9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4"/>
        <w:gridCol w:w="7404"/>
      </w:tblGrid>
      <w:tr w14:paraId="6749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shd w:val="clear" w:color="auto" w:fill="auto"/>
          </w:tcPr>
          <w:p w14:paraId="1CC71F34">
            <w:pPr>
              <w:jc w:val="both"/>
              <w:rPr>
                <w:rFonts w:ascii="Times New Roman" w:hAnsi="Times New Roman"/>
                <w:b/>
                <w:szCs w:val="28"/>
                <w:lang w:val="fr-FR"/>
              </w:rPr>
            </w:pPr>
            <w:r>
              <w:rPr>
                <w:rFonts w:ascii="Times New Roman" w:hAnsi="Times New Roman"/>
                <w:b/>
                <w:szCs w:val="28"/>
                <w:lang w:val="fr-FR"/>
              </w:rPr>
              <w:t>Órgão Requerente</w:t>
            </w:r>
          </w:p>
        </w:tc>
        <w:tc>
          <w:tcPr>
            <w:tcW w:w="7404" w:type="dxa"/>
            <w:shd w:val="clear" w:color="auto" w:fill="auto"/>
          </w:tcPr>
          <w:p w14:paraId="36C390FE">
            <w:pPr>
              <w:jc w:val="both"/>
              <w:rPr>
                <w:rFonts w:hint="default" w:ascii="Times New Roman" w:hAnsi="Times New Roman"/>
                <w:b/>
                <w:szCs w:val="28"/>
                <w:lang w:val="pt-BR"/>
              </w:rPr>
            </w:pPr>
            <w:r>
              <w:rPr>
                <w:rFonts w:hint="default" w:ascii="Times New Roman" w:hAnsi="Times New Roman"/>
                <w:b/>
                <w:szCs w:val="28"/>
                <w:lang w:val="pt-BR"/>
              </w:rPr>
              <w:t>Secretaria da Saúde</w:t>
            </w:r>
          </w:p>
        </w:tc>
      </w:tr>
      <w:tr w14:paraId="0C447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shd w:val="clear" w:color="auto" w:fill="auto"/>
          </w:tcPr>
          <w:p w14:paraId="005D72D5">
            <w:pPr>
              <w:jc w:val="both"/>
              <w:rPr>
                <w:rFonts w:ascii="Times New Roman" w:hAnsi="Times New Roman"/>
                <w:b/>
                <w:szCs w:val="28"/>
                <w:lang w:val="fr-FR"/>
              </w:rPr>
            </w:pPr>
            <w:r>
              <w:rPr>
                <w:rFonts w:ascii="Times New Roman" w:hAnsi="Times New Roman"/>
                <w:b/>
                <w:szCs w:val="28"/>
                <w:lang w:val="fr-FR"/>
              </w:rPr>
              <w:t>Responsável</w:t>
            </w:r>
          </w:p>
        </w:tc>
        <w:tc>
          <w:tcPr>
            <w:tcW w:w="7404" w:type="dxa"/>
            <w:shd w:val="clear" w:color="auto" w:fill="auto"/>
          </w:tcPr>
          <w:p w14:paraId="393640E6">
            <w:pPr>
              <w:jc w:val="both"/>
              <w:rPr>
                <w:rFonts w:hint="default" w:ascii="Times New Roman" w:hAnsi="Times New Roman"/>
                <w:b/>
                <w:szCs w:val="28"/>
                <w:lang w:val="pt-BR"/>
              </w:rPr>
            </w:pPr>
            <w:r>
              <w:rPr>
                <w:rFonts w:hint="default" w:ascii="Times New Roman" w:hAnsi="Times New Roman" w:eastAsia="Segoe UI" w:cs="Times New Roman"/>
                <w:b/>
                <w:bCs/>
                <w:i w:val="0"/>
                <w:iCs w:val="0"/>
                <w:caps w:val="0"/>
                <w:color w:val="auto"/>
                <w:spacing w:val="0"/>
                <w:sz w:val="28"/>
                <w:szCs w:val="28"/>
                <w:shd w:val="clear" w:fill="FFFFFF"/>
              </w:rPr>
              <w:t>MÁRCIO ALEXANDRE CAMARGO</w:t>
            </w:r>
          </w:p>
        </w:tc>
      </w:tr>
      <w:tr w14:paraId="36AB3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shd w:val="clear" w:color="auto" w:fill="auto"/>
          </w:tcPr>
          <w:p w14:paraId="1881A86F">
            <w:pPr>
              <w:jc w:val="both"/>
              <w:rPr>
                <w:rFonts w:ascii="Times New Roman" w:hAnsi="Times New Roman"/>
                <w:b/>
                <w:szCs w:val="28"/>
                <w:lang w:val="fr-FR"/>
              </w:rPr>
            </w:pPr>
            <w:r>
              <w:rPr>
                <w:rFonts w:ascii="Times New Roman" w:hAnsi="Times New Roman"/>
                <w:b/>
                <w:szCs w:val="28"/>
                <w:lang w:val="fr-FR"/>
              </w:rPr>
              <w:t>E-mail</w:t>
            </w:r>
          </w:p>
        </w:tc>
        <w:tc>
          <w:tcPr>
            <w:tcW w:w="7404" w:type="dxa"/>
            <w:shd w:val="clear" w:color="auto" w:fill="auto"/>
          </w:tcPr>
          <w:p w14:paraId="6849A62D">
            <w:pPr>
              <w:jc w:val="both"/>
              <w:rPr>
                <w:rFonts w:hint="default" w:ascii="Times New Roman" w:hAnsi="Times New Roman"/>
                <w:b/>
                <w:szCs w:val="28"/>
                <w:lang w:val="pt-BR"/>
              </w:rPr>
            </w:pPr>
            <w:r>
              <w:rPr>
                <w:rFonts w:hint="default" w:ascii="Times New Roman" w:hAnsi="Times New Roman"/>
                <w:b/>
                <w:szCs w:val="28"/>
                <w:lang w:val="pt-BR"/>
              </w:rPr>
              <w:t>compras@quata.sp.gov.br</w:t>
            </w:r>
          </w:p>
        </w:tc>
      </w:tr>
    </w:tbl>
    <w:p w14:paraId="3ADB32C5">
      <w:pPr>
        <w:jc w:val="both"/>
        <w:rPr>
          <w:rFonts w:ascii="Times New Roman" w:hAnsi="Times New Roman"/>
          <w:b/>
          <w:szCs w:val="28"/>
          <w:lang w:val="fr-FR"/>
        </w:rPr>
      </w:pPr>
    </w:p>
    <w:p w14:paraId="798A8DAF">
      <w:pPr>
        <w:jc w:val="both"/>
        <w:rPr>
          <w:rFonts w:ascii="Times New Roman" w:hAnsi="Times New Roman"/>
          <w:b/>
          <w:bCs/>
          <w:szCs w:val="28"/>
        </w:rPr>
      </w:pPr>
      <w:r>
        <w:rPr>
          <w:rFonts w:ascii="Times New Roman" w:hAnsi="Times New Roman"/>
          <w:b/>
          <w:szCs w:val="28"/>
        </w:rPr>
        <w:t xml:space="preserve">1- </w:t>
      </w:r>
      <w:r>
        <w:rPr>
          <w:rFonts w:ascii="Times New Roman" w:hAnsi="Times New Roman"/>
          <w:b/>
          <w:bCs/>
          <w:szCs w:val="28"/>
        </w:rPr>
        <w:t>Definição do objeto:</w:t>
      </w:r>
    </w:p>
    <w:p w14:paraId="180B5A88">
      <w:pPr>
        <w:jc w:val="both"/>
        <w:rPr>
          <w:rFonts w:ascii="Times New Roman" w:hAnsi="Times New Roman"/>
          <w:szCs w:val="28"/>
        </w:rPr>
      </w:pPr>
      <w:r>
        <w:rPr>
          <w:rFonts w:ascii="Times New Roman" w:hAnsi="Times New Roman"/>
          <w:bCs/>
          <w:szCs w:val="28"/>
        </w:rPr>
        <w:t xml:space="preserve">Solicitamos abertura de processo de </w:t>
      </w:r>
      <w:r>
        <w:rPr>
          <w:rFonts w:hint="default" w:ascii="Times New Roman" w:hAnsi="Times New Roman"/>
          <w:bCs/>
          <w:szCs w:val="28"/>
          <w:lang w:val="pt-BR"/>
        </w:rPr>
        <w:t xml:space="preserve">compra direta para aquisição de </w:t>
      </w:r>
      <w:r>
        <w:rPr>
          <w:rFonts w:hint="default" w:ascii="Times New Roman" w:hAnsi="Times New Roman" w:cs="Times New Roman"/>
          <w:bCs/>
          <w:sz w:val="28"/>
          <w:szCs w:val="28"/>
          <w:lang w:val="pt-BR"/>
        </w:rPr>
        <w:t>“EPIs - Calçados de segurança”</w:t>
      </w:r>
      <w:r>
        <w:rPr>
          <w:rFonts w:ascii="Times New Roman" w:hAnsi="Times New Roman"/>
          <w:szCs w:val="28"/>
        </w:rPr>
        <w:t>, conforme exposto abaixo:</w:t>
      </w:r>
    </w:p>
    <w:p w14:paraId="6179EAD2">
      <w:pPr>
        <w:jc w:val="both"/>
        <w:rPr>
          <w:bCs/>
          <w:sz w:val="24"/>
        </w:rPr>
      </w:pPr>
    </w:p>
    <w:tbl>
      <w:tblPr>
        <w:tblStyle w:val="6"/>
        <w:tblW w:w="10194" w:type="dxa"/>
        <w:jc w:val="center"/>
        <w:tblLayout w:type="fixed"/>
        <w:tblCellMar>
          <w:top w:w="0" w:type="dxa"/>
          <w:left w:w="70" w:type="dxa"/>
          <w:bottom w:w="0" w:type="dxa"/>
          <w:right w:w="70" w:type="dxa"/>
        </w:tblCellMar>
      </w:tblPr>
      <w:tblGrid>
        <w:gridCol w:w="674"/>
        <w:gridCol w:w="1160"/>
        <w:gridCol w:w="4145"/>
        <w:gridCol w:w="464"/>
        <w:gridCol w:w="450"/>
        <w:gridCol w:w="954"/>
        <w:gridCol w:w="1159"/>
        <w:gridCol w:w="1188"/>
      </w:tblGrid>
      <w:tr w14:paraId="6E7962A6">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3382CC91">
            <w:pPr>
              <w:jc w:val="center"/>
              <w:rPr>
                <w:rFonts w:ascii="Times New Roman" w:hAnsi="Times New Roman"/>
                <w:b/>
                <w:bCs/>
                <w:sz w:val="20"/>
                <w:szCs w:val="20"/>
              </w:rPr>
            </w:pPr>
            <w:r>
              <w:rPr>
                <w:rFonts w:ascii="Times New Roman" w:hAnsi="Times New Roman"/>
                <w:b/>
                <w:bCs/>
                <w:sz w:val="20"/>
                <w:szCs w:val="20"/>
              </w:rPr>
              <w:t>ITEM</w:t>
            </w:r>
          </w:p>
        </w:tc>
        <w:tc>
          <w:tcPr>
            <w:tcW w:w="1160" w:type="dxa"/>
            <w:tcBorders>
              <w:top w:val="single" w:color="auto" w:sz="4" w:space="0"/>
              <w:left w:val="single" w:color="auto" w:sz="4" w:space="0"/>
              <w:bottom w:val="single" w:color="auto" w:sz="4" w:space="0"/>
              <w:right w:val="single" w:color="auto" w:sz="4" w:space="0"/>
            </w:tcBorders>
          </w:tcPr>
          <w:p w14:paraId="0517AF75">
            <w:pPr>
              <w:jc w:val="center"/>
              <w:rPr>
                <w:rFonts w:ascii="Times New Roman" w:hAnsi="Times New Roman"/>
                <w:b/>
                <w:bCs/>
                <w:sz w:val="20"/>
                <w:szCs w:val="20"/>
              </w:rPr>
            </w:pPr>
            <w:r>
              <w:rPr>
                <w:rFonts w:ascii="Times New Roman" w:hAnsi="Times New Roman"/>
                <w:b/>
                <w:bCs/>
                <w:sz w:val="20"/>
                <w:szCs w:val="20"/>
              </w:rPr>
              <w:t>CÓDIGO</w:t>
            </w:r>
          </w:p>
        </w:tc>
        <w:tc>
          <w:tcPr>
            <w:tcW w:w="4145" w:type="dxa"/>
            <w:tcBorders>
              <w:top w:val="single" w:color="auto" w:sz="4" w:space="0"/>
              <w:left w:val="single" w:color="auto" w:sz="4" w:space="0"/>
              <w:bottom w:val="single" w:color="auto" w:sz="4" w:space="0"/>
              <w:right w:val="single" w:color="auto" w:sz="4" w:space="0"/>
            </w:tcBorders>
            <w:shd w:val="clear" w:color="auto" w:fill="auto"/>
          </w:tcPr>
          <w:p w14:paraId="083F128F">
            <w:pPr>
              <w:jc w:val="both"/>
              <w:rPr>
                <w:rFonts w:ascii="Times New Roman" w:hAnsi="Times New Roman"/>
                <w:b/>
                <w:bCs/>
                <w:sz w:val="20"/>
                <w:szCs w:val="20"/>
              </w:rPr>
            </w:pPr>
            <w:r>
              <w:rPr>
                <w:rFonts w:ascii="Times New Roman" w:hAnsi="Times New Roman"/>
                <w:b/>
                <w:bCs/>
                <w:sz w:val="20"/>
                <w:szCs w:val="20"/>
              </w:rPr>
              <w:t>PRODUTO/DESCRIÇÃO</w:t>
            </w:r>
          </w:p>
        </w:tc>
        <w:tc>
          <w:tcPr>
            <w:tcW w:w="464" w:type="dxa"/>
            <w:tcBorders>
              <w:top w:val="single" w:color="auto" w:sz="4" w:space="0"/>
              <w:left w:val="single" w:color="auto" w:sz="4" w:space="0"/>
              <w:bottom w:val="single" w:color="auto" w:sz="4" w:space="0"/>
              <w:right w:val="single" w:color="auto" w:sz="4" w:space="0"/>
            </w:tcBorders>
            <w:shd w:val="clear" w:color="auto" w:fill="auto"/>
          </w:tcPr>
          <w:p w14:paraId="3CD6CB75">
            <w:pPr>
              <w:jc w:val="center"/>
              <w:rPr>
                <w:rFonts w:ascii="Times New Roman" w:hAnsi="Times New Roman"/>
                <w:b/>
                <w:bCs/>
                <w:sz w:val="20"/>
                <w:szCs w:val="20"/>
              </w:rPr>
            </w:pPr>
            <w:r>
              <w:rPr>
                <w:rFonts w:ascii="Times New Roman" w:hAnsi="Times New Roman"/>
                <w:b/>
                <w:bCs/>
                <w:sz w:val="20"/>
                <w:szCs w:val="20"/>
              </w:rPr>
              <w:t>UN</w:t>
            </w:r>
          </w:p>
        </w:tc>
        <w:tc>
          <w:tcPr>
            <w:tcW w:w="450" w:type="dxa"/>
            <w:tcBorders>
              <w:top w:val="single" w:color="auto" w:sz="4" w:space="0"/>
              <w:left w:val="single" w:color="auto" w:sz="4" w:space="0"/>
              <w:bottom w:val="single" w:color="auto" w:sz="4" w:space="0"/>
              <w:right w:val="single" w:color="auto" w:sz="4" w:space="0"/>
            </w:tcBorders>
            <w:shd w:val="clear" w:color="auto" w:fill="auto"/>
          </w:tcPr>
          <w:p w14:paraId="00C651CF">
            <w:pPr>
              <w:jc w:val="center"/>
              <w:rPr>
                <w:rFonts w:ascii="Times New Roman" w:hAnsi="Times New Roman"/>
                <w:b/>
                <w:bCs/>
                <w:sz w:val="20"/>
                <w:szCs w:val="20"/>
              </w:rPr>
            </w:pPr>
            <w:r>
              <w:rPr>
                <w:rFonts w:ascii="Times New Roman" w:hAnsi="Times New Roman"/>
                <w:b/>
                <w:bCs/>
                <w:sz w:val="20"/>
                <w:szCs w:val="20"/>
              </w:rPr>
              <w:t>QT</w:t>
            </w:r>
          </w:p>
        </w:tc>
        <w:tc>
          <w:tcPr>
            <w:tcW w:w="954" w:type="dxa"/>
            <w:tcBorders>
              <w:top w:val="single" w:color="auto" w:sz="4" w:space="0"/>
              <w:left w:val="single" w:color="auto" w:sz="4" w:space="0"/>
              <w:bottom w:val="single" w:color="auto" w:sz="4" w:space="0"/>
              <w:right w:val="single" w:color="auto" w:sz="4" w:space="0"/>
            </w:tcBorders>
            <w:shd w:val="clear" w:color="auto" w:fill="auto"/>
          </w:tcPr>
          <w:p w14:paraId="6CCC69B9">
            <w:pPr>
              <w:jc w:val="center"/>
              <w:rPr>
                <w:rFonts w:hint="default" w:ascii="Times New Roman" w:hAnsi="Times New Roman"/>
                <w:b/>
                <w:bCs/>
                <w:sz w:val="20"/>
                <w:szCs w:val="20"/>
                <w:lang w:val="pt-BR"/>
              </w:rPr>
            </w:pPr>
            <w:r>
              <w:rPr>
                <w:rFonts w:ascii="Times New Roman" w:hAnsi="Times New Roman"/>
                <w:b/>
                <w:bCs/>
                <w:sz w:val="20"/>
                <w:szCs w:val="20"/>
              </w:rPr>
              <w:t>VALOR UNIT</w:t>
            </w:r>
            <w:r>
              <w:rPr>
                <w:rFonts w:hint="default" w:ascii="Times New Roman" w:hAnsi="Times New Roman"/>
                <w:b/>
                <w:bCs/>
                <w:sz w:val="20"/>
                <w:szCs w:val="20"/>
                <w:lang w:val="pt-BR"/>
              </w:rPr>
              <w:t>.</w:t>
            </w:r>
          </w:p>
        </w:tc>
        <w:tc>
          <w:tcPr>
            <w:tcW w:w="1159" w:type="dxa"/>
            <w:tcBorders>
              <w:top w:val="single" w:color="auto" w:sz="4" w:space="0"/>
              <w:left w:val="single" w:color="auto" w:sz="4" w:space="0"/>
              <w:bottom w:val="single" w:color="auto" w:sz="4" w:space="0"/>
              <w:right w:val="single" w:color="auto" w:sz="4" w:space="0"/>
            </w:tcBorders>
            <w:shd w:val="clear" w:color="auto" w:fill="auto"/>
          </w:tcPr>
          <w:p w14:paraId="22BF17CE">
            <w:pPr>
              <w:jc w:val="center"/>
              <w:rPr>
                <w:rFonts w:ascii="Times New Roman" w:hAnsi="Times New Roman"/>
                <w:b/>
                <w:bCs/>
                <w:sz w:val="20"/>
                <w:szCs w:val="20"/>
              </w:rPr>
            </w:pPr>
            <w:r>
              <w:rPr>
                <w:rFonts w:ascii="Times New Roman" w:hAnsi="Times New Roman"/>
                <w:b/>
                <w:bCs/>
                <w:sz w:val="20"/>
                <w:szCs w:val="20"/>
              </w:rPr>
              <w:t>VALOR TOTAL</w:t>
            </w:r>
          </w:p>
        </w:tc>
        <w:tc>
          <w:tcPr>
            <w:tcW w:w="1188" w:type="dxa"/>
            <w:tcBorders>
              <w:top w:val="single" w:color="auto" w:sz="4" w:space="0"/>
              <w:left w:val="single" w:color="auto" w:sz="4" w:space="0"/>
              <w:bottom w:val="single" w:color="auto" w:sz="4" w:space="0"/>
              <w:right w:val="single" w:color="auto" w:sz="4" w:space="0"/>
            </w:tcBorders>
          </w:tcPr>
          <w:p w14:paraId="7BDD0743">
            <w:pPr>
              <w:jc w:val="center"/>
              <w:rPr>
                <w:rFonts w:ascii="Times New Roman" w:hAnsi="Times New Roman"/>
                <w:b/>
                <w:bCs/>
                <w:sz w:val="20"/>
                <w:szCs w:val="20"/>
              </w:rPr>
            </w:pPr>
            <w:r>
              <w:rPr>
                <w:rFonts w:ascii="Times New Roman" w:hAnsi="Times New Roman"/>
                <w:b/>
                <w:bCs/>
                <w:sz w:val="20"/>
                <w:szCs w:val="20"/>
              </w:rPr>
              <w:t>CNAE</w:t>
            </w:r>
          </w:p>
        </w:tc>
      </w:tr>
      <w:tr w14:paraId="40F23D60">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0550D29F">
            <w:pPr>
              <w:jc w:val="center"/>
              <w:rPr>
                <w:rFonts w:hint="default" w:ascii="Times New Roman" w:hAnsi="Times New Roman" w:cs="Times New Roman"/>
                <w:b/>
                <w:sz w:val="20"/>
                <w:szCs w:val="20"/>
              </w:rPr>
            </w:pPr>
            <w:r>
              <w:rPr>
                <w:rFonts w:hint="default" w:ascii="Times New Roman" w:hAnsi="Times New Roman" w:cs="Times New Roman"/>
                <w:b/>
                <w:sz w:val="20"/>
                <w:szCs w:val="20"/>
              </w:rPr>
              <w:t>1</w:t>
            </w:r>
          </w:p>
        </w:tc>
        <w:tc>
          <w:tcPr>
            <w:tcW w:w="1160" w:type="dxa"/>
            <w:tcBorders>
              <w:top w:val="single" w:color="auto" w:sz="4" w:space="0"/>
              <w:left w:val="single" w:color="auto" w:sz="4" w:space="0"/>
              <w:bottom w:val="single" w:color="auto" w:sz="4" w:space="0"/>
              <w:right w:val="single" w:color="auto" w:sz="4" w:space="0"/>
            </w:tcBorders>
            <w:vAlign w:val="top"/>
          </w:tcPr>
          <w:p w14:paraId="3A974C14">
            <w:pPr>
              <w:autoSpaceDE w:val="0"/>
              <w:autoSpaceDN w:val="0"/>
              <w:adjustRightInd w:val="0"/>
              <w:jc w:val="both"/>
              <w:rPr>
                <w:rFonts w:hint="default" w:ascii="Times New Roman" w:hAnsi="Times New Roman" w:cs="Times New Roman"/>
                <w:bCs/>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6</w:t>
            </w:r>
            <w:r>
              <w:rPr>
                <w:rFonts w:hint="default" w:ascii="Times New Roman" w:hAnsi="Times New Roman" w:cs="Times New Roman"/>
                <w:bCs/>
                <w:sz w:val="20"/>
                <w:szCs w:val="20"/>
                <w:lang w:val="pt-BR"/>
              </w:rPr>
              <w:t>07.001.080</w:t>
            </w:r>
          </w:p>
        </w:tc>
        <w:tc>
          <w:tcPr>
            <w:tcW w:w="4145" w:type="dxa"/>
            <w:tcBorders>
              <w:top w:val="single" w:color="auto" w:sz="4" w:space="0"/>
              <w:left w:val="single" w:color="auto" w:sz="4" w:space="0"/>
              <w:bottom w:val="single" w:color="auto" w:sz="4" w:space="0"/>
              <w:right w:val="single" w:color="auto" w:sz="4" w:space="0"/>
            </w:tcBorders>
            <w:shd w:val="clear" w:color="auto" w:fill="auto"/>
            <w:vAlign w:val="top"/>
          </w:tcPr>
          <w:p w14:paraId="0B4976B4">
            <w:pPr>
              <w:autoSpaceDE w:val="0"/>
              <w:autoSpaceDN w:val="0"/>
              <w:adjustRightInd w:val="0"/>
              <w:jc w:val="both"/>
              <w:rPr>
                <w:rFonts w:hint="default" w:ascii="Times New Roman" w:hAnsi="Times New Roman" w:eastAsia="SimSun" w:cs="Times New Roman"/>
                <w:sz w:val="20"/>
                <w:szCs w:val="20"/>
                <w:lang w:val="pt-BR"/>
              </w:rPr>
            </w:pPr>
            <w:r>
              <w:rPr>
                <w:rFonts w:hint="default" w:ascii="Times New Roman" w:hAnsi="Times New Roman" w:cs="Times New Roman"/>
                <w:bCs/>
                <w:sz w:val="20"/>
                <w:szCs w:val="20"/>
                <w:lang w:val="pt-BR"/>
              </w:rPr>
              <w:t xml:space="preserve">SAPATO DE SEGURANÇA Nº 36, </w:t>
            </w:r>
            <w:r>
              <w:rPr>
                <w:rFonts w:hint="default" w:ascii="Times New Roman" w:hAnsi="Times New Roman" w:cs="Times New Roman"/>
                <w:bCs/>
                <w:sz w:val="20"/>
                <w:szCs w:val="20"/>
              </w:rPr>
              <w:t>sapato de segurança ocupacional na cor branca/preta confeccionado em elastomero tpe. possui solado de borracha nitrilica antiderrapante em forma de colmeia, palmilha de conforto antimicrobiana confeccionado em eva, tecido e revestida com manta inferior para absorção e dessorção do suor.</w:t>
            </w:r>
          </w:p>
        </w:tc>
        <w:tc>
          <w:tcPr>
            <w:tcW w:w="464" w:type="dxa"/>
            <w:tcBorders>
              <w:top w:val="single" w:color="auto" w:sz="4" w:space="0"/>
              <w:left w:val="single" w:color="auto" w:sz="4" w:space="0"/>
              <w:bottom w:val="single" w:color="auto" w:sz="4" w:space="0"/>
              <w:right w:val="single" w:color="auto" w:sz="4" w:space="0"/>
            </w:tcBorders>
            <w:shd w:val="clear" w:color="auto" w:fill="auto"/>
            <w:vAlign w:val="top"/>
          </w:tcPr>
          <w:p w14:paraId="64BEDBA9">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PR</w:t>
            </w:r>
          </w:p>
        </w:tc>
        <w:tc>
          <w:tcPr>
            <w:tcW w:w="450" w:type="dxa"/>
            <w:tcBorders>
              <w:top w:val="single" w:color="auto" w:sz="4" w:space="0"/>
              <w:left w:val="single" w:color="auto" w:sz="4" w:space="0"/>
              <w:bottom w:val="single" w:color="auto" w:sz="4" w:space="0"/>
              <w:right w:val="single" w:color="auto" w:sz="4" w:space="0"/>
            </w:tcBorders>
            <w:shd w:val="clear" w:color="auto" w:fill="auto"/>
            <w:vAlign w:val="top"/>
          </w:tcPr>
          <w:p w14:paraId="3489D39B">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15</w:t>
            </w:r>
          </w:p>
        </w:tc>
        <w:tc>
          <w:tcPr>
            <w:tcW w:w="954" w:type="dxa"/>
            <w:tcBorders>
              <w:top w:val="single" w:color="auto" w:sz="4" w:space="0"/>
              <w:left w:val="single" w:color="auto" w:sz="4" w:space="0"/>
              <w:bottom w:val="single" w:color="auto" w:sz="4" w:space="0"/>
              <w:right w:val="single" w:color="auto" w:sz="4" w:space="0"/>
            </w:tcBorders>
            <w:shd w:val="clear" w:color="auto" w:fill="auto"/>
            <w:vAlign w:val="top"/>
          </w:tcPr>
          <w:p w14:paraId="0A6BC925">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R$ 94,00</w:t>
            </w:r>
          </w:p>
        </w:tc>
        <w:tc>
          <w:tcPr>
            <w:tcW w:w="1159" w:type="dxa"/>
            <w:tcBorders>
              <w:top w:val="single" w:color="auto" w:sz="4" w:space="0"/>
              <w:left w:val="single" w:color="auto" w:sz="4" w:space="0"/>
              <w:bottom w:val="single" w:color="auto" w:sz="4" w:space="0"/>
              <w:right w:val="single" w:color="auto" w:sz="4" w:space="0"/>
            </w:tcBorders>
            <w:shd w:val="clear" w:color="auto" w:fill="auto"/>
            <w:vAlign w:val="top"/>
          </w:tcPr>
          <w:p w14:paraId="1BC338DB">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 xml:space="preserve">R$ </w:t>
            </w:r>
            <w:r>
              <w:rPr>
                <w:rFonts w:hint="default" w:ascii="Times New Roman" w:hAnsi="Times New Roman" w:cs="Times New Roman"/>
                <w:bCs/>
                <w:sz w:val="20"/>
                <w:szCs w:val="20"/>
                <w:lang w:val="pt-BR"/>
              </w:rPr>
              <w:t>1.41</w:t>
            </w:r>
            <w:r>
              <w:rPr>
                <w:rFonts w:hint="default" w:ascii="Times New Roman" w:hAnsi="Times New Roman" w:cs="Times New Roman"/>
                <w:bCs/>
                <w:sz w:val="20"/>
                <w:szCs w:val="20"/>
              </w:rPr>
              <w:t>0,00</w:t>
            </w:r>
          </w:p>
        </w:tc>
        <w:tc>
          <w:tcPr>
            <w:tcW w:w="1188" w:type="dxa"/>
            <w:vMerge w:val="restart"/>
            <w:tcBorders>
              <w:top w:val="single" w:color="auto" w:sz="4" w:space="0"/>
              <w:left w:val="single" w:color="auto" w:sz="4" w:space="0"/>
              <w:right w:val="single" w:color="auto" w:sz="4" w:space="0"/>
            </w:tcBorders>
          </w:tcPr>
          <w:p w14:paraId="1BFC96A1">
            <w:pPr>
              <w:jc w:val="both"/>
              <w:rPr>
                <w:rFonts w:hint="default" w:ascii="Arial" w:hAnsi="Arial" w:eastAsia="SimSun" w:cs="Arial"/>
                <w:b w:val="0"/>
                <w:bCs/>
                <w:i w:val="0"/>
                <w:iCs w:val="0"/>
                <w:caps w:val="0"/>
                <w:color w:val="auto"/>
                <w:spacing w:val="0"/>
                <w:sz w:val="18"/>
                <w:szCs w:val="18"/>
                <w:shd w:val="clear" w:color="auto" w:fill="auto"/>
              </w:rPr>
            </w:pPr>
            <w:r>
              <w:rPr>
                <w:rFonts w:hint="default" w:ascii="Arial" w:hAnsi="Arial" w:eastAsia="SimSun" w:cs="Arial"/>
                <w:b/>
                <w:bCs w:val="0"/>
                <w:i w:val="0"/>
                <w:iCs w:val="0"/>
                <w:caps w:val="0"/>
                <w:color w:val="auto"/>
                <w:spacing w:val="0"/>
                <w:sz w:val="18"/>
                <w:szCs w:val="18"/>
                <w:shd w:val="clear" w:color="auto" w:fill="auto"/>
              </w:rPr>
              <w:t xml:space="preserve">4782-2/01 </w:t>
            </w:r>
            <w:r>
              <w:rPr>
                <w:rFonts w:hint="default" w:ascii="Arial" w:hAnsi="Arial" w:eastAsia="SimSun" w:cs="Arial"/>
                <w:b w:val="0"/>
                <w:bCs/>
                <w:i w:val="0"/>
                <w:iCs w:val="0"/>
                <w:caps w:val="0"/>
                <w:color w:val="auto"/>
                <w:spacing w:val="0"/>
                <w:sz w:val="18"/>
                <w:szCs w:val="18"/>
                <w:shd w:val="clear" w:color="auto" w:fill="auto"/>
              </w:rPr>
              <w:t>Comércio varejista de calçados</w:t>
            </w:r>
          </w:p>
          <w:p w14:paraId="4CC64474">
            <w:pPr>
              <w:jc w:val="center"/>
              <w:rPr>
                <w:rFonts w:hint="default" w:ascii="Arial" w:hAnsi="Arial" w:eastAsia="SimSun" w:cs="Arial"/>
                <w:b w:val="0"/>
                <w:bCs/>
                <w:i w:val="0"/>
                <w:iCs w:val="0"/>
                <w:caps w:val="0"/>
                <w:color w:val="auto"/>
                <w:spacing w:val="0"/>
                <w:sz w:val="18"/>
                <w:szCs w:val="18"/>
                <w:shd w:val="clear" w:color="auto" w:fill="auto"/>
              </w:rPr>
            </w:pPr>
          </w:p>
          <w:p w14:paraId="566894AF">
            <w:pPr>
              <w:jc w:val="both"/>
              <w:rPr>
                <w:rFonts w:hint="default" w:ascii="Arial" w:hAnsi="Arial" w:eastAsia="SimSun" w:cs="Arial"/>
                <w:b/>
                <w:bCs/>
                <w:i w:val="0"/>
                <w:iCs w:val="0"/>
                <w:caps w:val="0"/>
                <w:color w:val="000000"/>
                <w:spacing w:val="0"/>
                <w:sz w:val="18"/>
                <w:szCs w:val="18"/>
                <w:shd w:val="clear" w:fill="F7F7F7"/>
                <w:lang w:val="pt-BR"/>
              </w:rPr>
            </w:pPr>
            <w:r>
              <w:rPr>
                <w:rFonts w:hint="default" w:ascii="Arial" w:hAnsi="Arial" w:eastAsia="SimSun" w:cs="Arial"/>
                <w:b/>
                <w:bCs w:val="0"/>
                <w:i w:val="0"/>
                <w:iCs w:val="0"/>
                <w:caps w:val="0"/>
                <w:color w:val="auto"/>
                <w:spacing w:val="0"/>
                <w:sz w:val="18"/>
                <w:szCs w:val="18"/>
                <w:shd w:val="clear" w:color="auto" w:fill="auto"/>
              </w:rPr>
              <w:t xml:space="preserve">4643-5/01 </w:t>
            </w:r>
            <w:r>
              <w:rPr>
                <w:rFonts w:hint="default" w:ascii="Arial" w:hAnsi="Arial" w:eastAsia="SimSun" w:cs="Arial"/>
                <w:b w:val="0"/>
                <w:bCs/>
                <w:i w:val="0"/>
                <w:iCs w:val="0"/>
                <w:caps w:val="0"/>
                <w:color w:val="auto"/>
                <w:spacing w:val="0"/>
                <w:sz w:val="18"/>
                <w:szCs w:val="18"/>
                <w:shd w:val="clear" w:color="auto" w:fill="auto"/>
              </w:rPr>
              <w:t>Comércio atacadista de calçados</w:t>
            </w:r>
          </w:p>
        </w:tc>
      </w:tr>
      <w:tr w14:paraId="33D560C4">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5477A5BB">
            <w:pPr>
              <w:jc w:val="center"/>
              <w:rPr>
                <w:rFonts w:hint="default" w:ascii="Times New Roman" w:hAnsi="Times New Roman" w:cs="Times New Roman"/>
                <w:b/>
                <w:sz w:val="20"/>
                <w:szCs w:val="20"/>
                <w:lang w:val="pt-BR"/>
              </w:rPr>
            </w:pPr>
            <w:r>
              <w:rPr>
                <w:rFonts w:hint="default" w:ascii="Times New Roman" w:hAnsi="Times New Roman" w:cs="Times New Roman"/>
                <w:b/>
                <w:sz w:val="20"/>
                <w:szCs w:val="20"/>
                <w:lang w:val="pt-BR"/>
              </w:rPr>
              <w:t>2</w:t>
            </w:r>
          </w:p>
        </w:tc>
        <w:tc>
          <w:tcPr>
            <w:tcW w:w="1160" w:type="dxa"/>
            <w:tcBorders>
              <w:top w:val="single" w:color="auto" w:sz="4" w:space="0"/>
              <w:left w:val="single" w:color="auto" w:sz="4" w:space="0"/>
              <w:bottom w:val="single" w:color="auto" w:sz="4" w:space="0"/>
              <w:right w:val="single" w:color="auto" w:sz="4" w:space="0"/>
            </w:tcBorders>
            <w:vAlign w:val="top"/>
          </w:tcPr>
          <w:p w14:paraId="0CFE13F6">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cs="Times New Roman"/>
                <w:bCs/>
                <w:sz w:val="20"/>
                <w:szCs w:val="20"/>
                <w:lang w:val="pt-BR"/>
              </w:rPr>
              <w:t>607.001.081</w:t>
            </w:r>
          </w:p>
        </w:tc>
        <w:tc>
          <w:tcPr>
            <w:tcW w:w="4145" w:type="dxa"/>
            <w:tcBorders>
              <w:top w:val="single" w:color="auto" w:sz="4" w:space="0"/>
              <w:left w:val="single" w:color="auto" w:sz="4" w:space="0"/>
              <w:bottom w:val="single" w:color="auto" w:sz="4" w:space="0"/>
              <w:right w:val="single" w:color="auto" w:sz="4" w:space="0"/>
            </w:tcBorders>
            <w:shd w:val="clear" w:color="auto" w:fill="auto"/>
            <w:vAlign w:val="top"/>
          </w:tcPr>
          <w:p w14:paraId="2245E58A">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cs="Times New Roman"/>
                <w:bCs/>
                <w:sz w:val="20"/>
                <w:szCs w:val="20"/>
                <w:lang w:val="pt-BR"/>
              </w:rPr>
              <w:t xml:space="preserve">SAPATO DE SEGURANÇA Nº 37, </w:t>
            </w:r>
            <w:r>
              <w:rPr>
                <w:rFonts w:hint="default" w:ascii="Times New Roman" w:hAnsi="Times New Roman" w:cs="Times New Roman"/>
                <w:bCs/>
                <w:sz w:val="20"/>
                <w:szCs w:val="20"/>
              </w:rPr>
              <w:t>sapato de segurança ocupacional na cor branca/preta confeccionado em elastomero tpe. possui solado de borracha nitrilica antiderrapante em forma de colmeia, palmilha de conforto antimicrobiana confeccionado em eva, tecido e revestida com manta inferior para absorção e dessorção do suor.</w:t>
            </w:r>
          </w:p>
        </w:tc>
        <w:tc>
          <w:tcPr>
            <w:tcW w:w="464" w:type="dxa"/>
            <w:tcBorders>
              <w:top w:val="single" w:color="auto" w:sz="4" w:space="0"/>
              <w:left w:val="single" w:color="auto" w:sz="4" w:space="0"/>
              <w:bottom w:val="single" w:color="auto" w:sz="4" w:space="0"/>
              <w:right w:val="single" w:color="auto" w:sz="4" w:space="0"/>
            </w:tcBorders>
            <w:shd w:val="clear" w:color="auto" w:fill="auto"/>
            <w:vAlign w:val="top"/>
          </w:tcPr>
          <w:p w14:paraId="48998110">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PR</w:t>
            </w:r>
          </w:p>
        </w:tc>
        <w:tc>
          <w:tcPr>
            <w:tcW w:w="450" w:type="dxa"/>
            <w:tcBorders>
              <w:top w:val="single" w:color="auto" w:sz="4" w:space="0"/>
              <w:left w:val="single" w:color="auto" w:sz="4" w:space="0"/>
              <w:bottom w:val="single" w:color="auto" w:sz="4" w:space="0"/>
              <w:right w:val="single" w:color="auto" w:sz="4" w:space="0"/>
            </w:tcBorders>
            <w:shd w:val="clear" w:color="auto" w:fill="auto"/>
            <w:vAlign w:val="top"/>
          </w:tcPr>
          <w:p w14:paraId="745B4F83">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15</w:t>
            </w:r>
          </w:p>
        </w:tc>
        <w:tc>
          <w:tcPr>
            <w:tcW w:w="954" w:type="dxa"/>
            <w:tcBorders>
              <w:top w:val="single" w:color="auto" w:sz="4" w:space="0"/>
              <w:left w:val="single" w:color="auto" w:sz="4" w:space="0"/>
              <w:bottom w:val="single" w:color="auto" w:sz="4" w:space="0"/>
              <w:right w:val="single" w:color="auto" w:sz="4" w:space="0"/>
            </w:tcBorders>
            <w:shd w:val="clear" w:color="auto" w:fill="auto"/>
            <w:vAlign w:val="top"/>
          </w:tcPr>
          <w:p w14:paraId="2081257C">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R$ 94,00</w:t>
            </w:r>
          </w:p>
        </w:tc>
        <w:tc>
          <w:tcPr>
            <w:tcW w:w="1159" w:type="dxa"/>
            <w:tcBorders>
              <w:top w:val="single" w:color="auto" w:sz="4" w:space="0"/>
              <w:left w:val="single" w:color="auto" w:sz="4" w:space="0"/>
              <w:bottom w:val="single" w:color="auto" w:sz="4" w:space="0"/>
              <w:right w:val="single" w:color="auto" w:sz="4" w:space="0"/>
            </w:tcBorders>
            <w:shd w:val="clear" w:color="auto" w:fill="auto"/>
            <w:vAlign w:val="top"/>
          </w:tcPr>
          <w:p w14:paraId="4F1EC81A">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 xml:space="preserve">R$ </w:t>
            </w:r>
            <w:r>
              <w:rPr>
                <w:rFonts w:hint="default" w:ascii="Times New Roman" w:hAnsi="Times New Roman" w:cs="Times New Roman"/>
                <w:bCs/>
                <w:sz w:val="20"/>
                <w:szCs w:val="20"/>
                <w:lang w:val="pt-BR"/>
              </w:rPr>
              <w:t>1.41</w:t>
            </w:r>
            <w:r>
              <w:rPr>
                <w:rFonts w:hint="default" w:ascii="Times New Roman" w:hAnsi="Times New Roman" w:cs="Times New Roman"/>
                <w:bCs/>
                <w:sz w:val="20"/>
                <w:szCs w:val="20"/>
              </w:rPr>
              <w:t>0,00</w:t>
            </w:r>
          </w:p>
        </w:tc>
        <w:tc>
          <w:tcPr>
            <w:tcW w:w="1188" w:type="dxa"/>
            <w:vMerge w:val="continue"/>
            <w:tcBorders>
              <w:left w:val="single" w:color="auto" w:sz="4" w:space="0"/>
              <w:right w:val="single" w:color="auto" w:sz="4" w:space="0"/>
            </w:tcBorders>
          </w:tcPr>
          <w:p w14:paraId="2D9097D6">
            <w:pPr>
              <w:jc w:val="both"/>
              <w:rPr>
                <w:rFonts w:ascii="Arial" w:hAnsi="Arial" w:eastAsia="SimSun" w:cs="Arial"/>
                <w:b/>
                <w:bCs/>
                <w:i w:val="0"/>
                <w:iCs w:val="0"/>
                <w:caps w:val="0"/>
                <w:color w:val="000000"/>
                <w:spacing w:val="0"/>
                <w:sz w:val="18"/>
                <w:szCs w:val="18"/>
                <w:shd w:val="clear" w:fill="F7F7F7"/>
              </w:rPr>
            </w:pPr>
          </w:p>
        </w:tc>
      </w:tr>
      <w:tr w14:paraId="68B4563F">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34621BDC">
            <w:pPr>
              <w:jc w:val="center"/>
              <w:rPr>
                <w:rFonts w:hint="default" w:ascii="Times New Roman" w:hAnsi="Times New Roman" w:cs="Times New Roman"/>
                <w:b/>
                <w:sz w:val="20"/>
                <w:szCs w:val="20"/>
                <w:lang w:val="pt-BR"/>
              </w:rPr>
            </w:pPr>
            <w:r>
              <w:rPr>
                <w:rFonts w:hint="default" w:ascii="Times New Roman" w:hAnsi="Times New Roman" w:cs="Times New Roman"/>
                <w:b/>
                <w:sz w:val="20"/>
                <w:szCs w:val="20"/>
                <w:lang w:val="pt-BR"/>
              </w:rPr>
              <w:t>3</w:t>
            </w:r>
          </w:p>
        </w:tc>
        <w:tc>
          <w:tcPr>
            <w:tcW w:w="1160" w:type="dxa"/>
            <w:tcBorders>
              <w:top w:val="single" w:color="auto" w:sz="4" w:space="0"/>
              <w:left w:val="single" w:color="auto" w:sz="4" w:space="0"/>
              <w:bottom w:val="single" w:color="auto" w:sz="4" w:space="0"/>
              <w:right w:val="single" w:color="auto" w:sz="4" w:space="0"/>
            </w:tcBorders>
            <w:vAlign w:val="top"/>
          </w:tcPr>
          <w:p w14:paraId="151B7F5D">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cs="Times New Roman"/>
                <w:bCs/>
                <w:sz w:val="20"/>
                <w:szCs w:val="20"/>
                <w:lang w:val="pt-BR"/>
              </w:rPr>
              <w:t>607.001.082</w:t>
            </w:r>
          </w:p>
        </w:tc>
        <w:tc>
          <w:tcPr>
            <w:tcW w:w="4145" w:type="dxa"/>
            <w:tcBorders>
              <w:top w:val="single" w:color="auto" w:sz="4" w:space="0"/>
              <w:left w:val="single" w:color="auto" w:sz="4" w:space="0"/>
              <w:bottom w:val="single" w:color="auto" w:sz="4" w:space="0"/>
              <w:right w:val="single" w:color="auto" w:sz="4" w:space="0"/>
            </w:tcBorders>
            <w:shd w:val="clear" w:color="auto" w:fill="auto"/>
            <w:vAlign w:val="top"/>
          </w:tcPr>
          <w:p w14:paraId="03F82A25">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cs="Times New Roman"/>
                <w:bCs/>
                <w:sz w:val="20"/>
                <w:szCs w:val="20"/>
                <w:lang w:val="pt-BR"/>
              </w:rPr>
              <w:t xml:space="preserve">SAPATO DE SEGURANÇA Nº 38, </w:t>
            </w:r>
            <w:r>
              <w:rPr>
                <w:rFonts w:hint="default" w:ascii="Times New Roman" w:hAnsi="Times New Roman" w:cs="Times New Roman"/>
                <w:bCs/>
                <w:sz w:val="20"/>
                <w:szCs w:val="20"/>
              </w:rPr>
              <w:t>sapato de segurança ocupacional na cor branca/preta confeccionado em elastomero tpe. possui solado de borracha nitrilica antiderrapante em forma de colmeia, palmilha de conforto antimicrobiana confeccionado em eva, tecido e revestida com manta inferior para absorção e dessorção do suor.</w:t>
            </w:r>
          </w:p>
        </w:tc>
        <w:tc>
          <w:tcPr>
            <w:tcW w:w="464" w:type="dxa"/>
            <w:tcBorders>
              <w:top w:val="single" w:color="auto" w:sz="4" w:space="0"/>
              <w:left w:val="single" w:color="auto" w:sz="4" w:space="0"/>
              <w:bottom w:val="single" w:color="auto" w:sz="4" w:space="0"/>
              <w:right w:val="single" w:color="auto" w:sz="4" w:space="0"/>
            </w:tcBorders>
            <w:shd w:val="clear" w:color="auto" w:fill="auto"/>
            <w:vAlign w:val="top"/>
          </w:tcPr>
          <w:p w14:paraId="7E40D7AD">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PR</w:t>
            </w:r>
          </w:p>
        </w:tc>
        <w:tc>
          <w:tcPr>
            <w:tcW w:w="450" w:type="dxa"/>
            <w:tcBorders>
              <w:top w:val="single" w:color="auto" w:sz="4" w:space="0"/>
              <w:left w:val="single" w:color="auto" w:sz="4" w:space="0"/>
              <w:bottom w:val="single" w:color="auto" w:sz="4" w:space="0"/>
              <w:right w:val="single" w:color="auto" w:sz="4" w:space="0"/>
            </w:tcBorders>
            <w:shd w:val="clear" w:color="auto" w:fill="auto"/>
            <w:vAlign w:val="top"/>
          </w:tcPr>
          <w:p w14:paraId="34FDCA33">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15</w:t>
            </w:r>
          </w:p>
        </w:tc>
        <w:tc>
          <w:tcPr>
            <w:tcW w:w="954" w:type="dxa"/>
            <w:tcBorders>
              <w:top w:val="single" w:color="auto" w:sz="4" w:space="0"/>
              <w:left w:val="single" w:color="auto" w:sz="4" w:space="0"/>
              <w:bottom w:val="single" w:color="auto" w:sz="4" w:space="0"/>
              <w:right w:val="single" w:color="auto" w:sz="4" w:space="0"/>
            </w:tcBorders>
            <w:shd w:val="clear" w:color="auto" w:fill="auto"/>
            <w:vAlign w:val="top"/>
          </w:tcPr>
          <w:p w14:paraId="73A57740">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R$ 94,00</w:t>
            </w:r>
          </w:p>
        </w:tc>
        <w:tc>
          <w:tcPr>
            <w:tcW w:w="1159" w:type="dxa"/>
            <w:tcBorders>
              <w:top w:val="single" w:color="auto" w:sz="4" w:space="0"/>
              <w:left w:val="single" w:color="auto" w:sz="4" w:space="0"/>
              <w:bottom w:val="single" w:color="auto" w:sz="4" w:space="0"/>
              <w:right w:val="single" w:color="auto" w:sz="4" w:space="0"/>
            </w:tcBorders>
            <w:shd w:val="clear" w:color="auto" w:fill="auto"/>
            <w:vAlign w:val="top"/>
          </w:tcPr>
          <w:p w14:paraId="292D3D29">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 xml:space="preserve">R$ </w:t>
            </w:r>
            <w:r>
              <w:rPr>
                <w:rFonts w:hint="default" w:ascii="Times New Roman" w:hAnsi="Times New Roman" w:cs="Times New Roman"/>
                <w:bCs/>
                <w:sz w:val="20"/>
                <w:szCs w:val="20"/>
                <w:lang w:val="pt-BR"/>
              </w:rPr>
              <w:t>1.41</w:t>
            </w:r>
            <w:r>
              <w:rPr>
                <w:rFonts w:hint="default" w:ascii="Times New Roman" w:hAnsi="Times New Roman" w:cs="Times New Roman"/>
                <w:bCs/>
                <w:sz w:val="20"/>
                <w:szCs w:val="20"/>
              </w:rPr>
              <w:t>0,00</w:t>
            </w:r>
          </w:p>
        </w:tc>
        <w:tc>
          <w:tcPr>
            <w:tcW w:w="1188" w:type="dxa"/>
            <w:vMerge w:val="continue"/>
            <w:tcBorders>
              <w:left w:val="single" w:color="auto" w:sz="4" w:space="0"/>
              <w:right w:val="single" w:color="auto" w:sz="4" w:space="0"/>
            </w:tcBorders>
          </w:tcPr>
          <w:p w14:paraId="6B78C671">
            <w:pPr>
              <w:jc w:val="both"/>
              <w:rPr>
                <w:rFonts w:ascii="Arial" w:hAnsi="Arial" w:eastAsia="SimSun" w:cs="Arial"/>
                <w:b/>
                <w:bCs/>
                <w:i w:val="0"/>
                <w:iCs w:val="0"/>
                <w:caps w:val="0"/>
                <w:color w:val="000000"/>
                <w:spacing w:val="0"/>
                <w:sz w:val="18"/>
                <w:szCs w:val="18"/>
                <w:shd w:val="clear" w:fill="F7F7F7"/>
              </w:rPr>
            </w:pPr>
          </w:p>
        </w:tc>
      </w:tr>
      <w:tr w14:paraId="4C9E1C0B">
        <w:tblPrEx>
          <w:tblCellMar>
            <w:top w:w="0" w:type="dxa"/>
            <w:left w:w="70" w:type="dxa"/>
            <w:bottom w:w="0" w:type="dxa"/>
            <w:right w:w="70" w:type="dxa"/>
          </w:tblCellMar>
        </w:tblPrEx>
        <w:trPr>
          <w:trHeight w:val="20" w:hRule="atLeast"/>
          <w:jc w:val="center"/>
        </w:trPr>
        <w:tc>
          <w:tcPr>
            <w:tcW w:w="674" w:type="dxa"/>
            <w:tcBorders>
              <w:top w:val="single" w:color="auto" w:sz="4" w:space="0"/>
              <w:left w:val="single" w:color="auto" w:sz="4" w:space="0"/>
              <w:bottom w:val="single" w:color="auto" w:sz="4" w:space="0"/>
              <w:right w:val="single" w:color="auto" w:sz="4" w:space="0"/>
            </w:tcBorders>
            <w:shd w:val="clear" w:color="auto" w:fill="auto"/>
          </w:tcPr>
          <w:p w14:paraId="141D7D38">
            <w:pPr>
              <w:jc w:val="center"/>
              <w:rPr>
                <w:rFonts w:hint="default" w:ascii="Times New Roman" w:hAnsi="Times New Roman" w:cs="Times New Roman"/>
                <w:b/>
                <w:sz w:val="20"/>
                <w:szCs w:val="20"/>
                <w:lang w:val="pt-BR"/>
              </w:rPr>
            </w:pPr>
            <w:r>
              <w:rPr>
                <w:rFonts w:hint="default" w:ascii="Times New Roman" w:hAnsi="Times New Roman" w:cs="Times New Roman"/>
                <w:b/>
                <w:sz w:val="20"/>
                <w:szCs w:val="20"/>
                <w:lang w:val="pt-BR"/>
              </w:rPr>
              <w:t>4</w:t>
            </w:r>
          </w:p>
        </w:tc>
        <w:tc>
          <w:tcPr>
            <w:tcW w:w="1160" w:type="dxa"/>
            <w:tcBorders>
              <w:top w:val="single" w:color="auto" w:sz="4" w:space="0"/>
              <w:left w:val="single" w:color="auto" w:sz="4" w:space="0"/>
              <w:bottom w:val="single" w:color="auto" w:sz="4" w:space="0"/>
              <w:right w:val="single" w:color="auto" w:sz="4" w:space="0"/>
            </w:tcBorders>
            <w:vAlign w:val="top"/>
          </w:tcPr>
          <w:p w14:paraId="30AB99DC">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cs="Times New Roman"/>
                <w:bCs/>
                <w:sz w:val="20"/>
                <w:szCs w:val="20"/>
                <w:lang w:val="pt-BR"/>
              </w:rPr>
              <w:t>607.001.083</w:t>
            </w:r>
          </w:p>
        </w:tc>
        <w:tc>
          <w:tcPr>
            <w:tcW w:w="4145" w:type="dxa"/>
            <w:tcBorders>
              <w:top w:val="single" w:color="auto" w:sz="4" w:space="0"/>
              <w:left w:val="single" w:color="auto" w:sz="4" w:space="0"/>
              <w:bottom w:val="single" w:color="auto" w:sz="4" w:space="0"/>
              <w:right w:val="single" w:color="auto" w:sz="4" w:space="0"/>
            </w:tcBorders>
            <w:shd w:val="clear" w:color="auto" w:fill="auto"/>
            <w:vAlign w:val="top"/>
          </w:tcPr>
          <w:p w14:paraId="53814FA0">
            <w:pPr>
              <w:autoSpaceDE w:val="0"/>
              <w:autoSpaceDN w:val="0"/>
              <w:adjustRightInd w:val="0"/>
              <w:jc w:val="both"/>
              <w:rPr>
                <w:rFonts w:hint="default" w:ascii="Times New Roman" w:hAnsi="Times New Roman" w:eastAsia="SimSun" w:cs="Times New Roman"/>
                <w:sz w:val="20"/>
                <w:szCs w:val="20"/>
              </w:rPr>
            </w:pPr>
            <w:r>
              <w:rPr>
                <w:rFonts w:hint="default" w:ascii="Times New Roman" w:hAnsi="Times New Roman" w:cs="Times New Roman"/>
                <w:bCs/>
                <w:sz w:val="20"/>
                <w:szCs w:val="20"/>
                <w:lang w:val="pt-BR"/>
              </w:rPr>
              <w:t xml:space="preserve">SAPATO DE SEGURANÇA Nº 39, </w:t>
            </w:r>
            <w:r>
              <w:rPr>
                <w:rFonts w:hint="default" w:ascii="Times New Roman" w:hAnsi="Times New Roman" w:cs="Times New Roman"/>
                <w:bCs/>
                <w:sz w:val="20"/>
                <w:szCs w:val="20"/>
              </w:rPr>
              <w:t>sapato de segurança ocupacional na cor branca/preta confeccionado em elastomero tpe. possui solado de borracha nitrilica antiderrapante em forma de colmeia, palmilha de conforto antimicrobiana confeccionado em eva, tecido e revestida com manta inferior para absorção e dessorção do suor.</w:t>
            </w:r>
          </w:p>
        </w:tc>
        <w:tc>
          <w:tcPr>
            <w:tcW w:w="464" w:type="dxa"/>
            <w:tcBorders>
              <w:top w:val="single" w:color="auto" w:sz="4" w:space="0"/>
              <w:left w:val="single" w:color="auto" w:sz="4" w:space="0"/>
              <w:bottom w:val="single" w:color="auto" w:sz="4" w:space="0"/>
              <w:right w:val="single" w:color="auto" w:sz="4" w:space="0"/>
            </w:tcBorders>
            <w:shd w:val="clear" w:color="auto" w:fill="auto"/>
            <w:vAlign w:val="top"/>
          </w:tcPr>
          <w:p w14:paraId="0D0C1F7A">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PR</w:t>
            </w:r>
          </w:p>
        </w:tc>
        <w:tc>
          <w:tcPr>
            <w:tcW w:w="450" w:type="dxa"/>
            <w:tcBorders>
              <w:top w:val="single" w:color="auto" w:sz="4" w:space="0"/>
              <w:left w:val="single" w:color="auto" w:sz="4" w:space="0"/>
              <w:bottom w:val="single" w:color="auto" w:sz="4" w:space="0"/>
              <w:right w:val="single" w:color="auto" w:sz="4" w:space="0"/>
            </w:tcBorders>
            <w:shd w:val="clear" w:color="auto" w:fill="auto"/>
            <w:vAlign w:val="top"/>
          </w:tcPr>
          <w:p w14:paraId="11A2BE74">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lang w:val="pt-BR"/>
              </w:rPr>
              <w:t>15</w:t>
            </w:r>
          </w:p>
        </w:tc>
        <w:tc>
          <w:tcPr>
            <w:tcW w:w="954" w:type="dxa"/>
            <w:tcBorders>
              <w:top w:val="single" w:color="auto" w:sz="4" w:space="0"/>
              <w:left w:val="single" w:color="auto" w:sz="4" w:space="0"/>
              <w:bottom w:val="single" w:color="auto" w:sz="4" w:space="0"/>
              <w:right w:val="single" w:color="auto" w:sz="4" w:space="0"/>
            </w:tcBorders>
            <w:shd w:val="clear" w:color="auto" w:fill="auto"/>
            <w:vAlign w:val="top"/>
          </w:tcPr>
          <w:p w14:paraId="6410CC4A">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R$ 94,00</w:t>
            </w:r>
          </w:p>
        </w:tc>
        <w:tc>
          <w:tcPr>
            <w:tcW w:w="1159" w:type="dxa"/>
            <w:tcBorders>
              <w:top w:val="single" w:color="auto" w:sz="4" w:space="0"/>
              <w:left w:val="single" w:color="auto" w:sz="4" w:space="0"/>
              <w:bottom w:val="single" w:color="auto" w:sz="4" w:space="0"/>
              <w:right w:val="single" w:color="auto" w:sz="4" w:space="0"/>
            </w:tcBorders>
            <w:shd w:val="clear" w:color="auto" w:fill="auto"/>
            <w:vAlign w:val="top"/>
          </w:tcPr>
          <w:p w14:paraId="1BBF1FA4">
            <w:pPr>
              <w:jc w:val="center"/>
              <w:rPr>
                <w:rFonts w:hint="default" w:ascii="Times New Roman" w:hAnsi="Times New Roman" w:cs="Times New Roman"/>
                <w:color w:val="000000" w:themeColor="text1"/>
                <w:sz w:val="20"/>
                <w:szCs w:val="20"/>
                <w:lang w:val="pt-BR"/>
                <w14:textFill>
                  <w14:solidFill>
                    <w14:schemeClr w14:val="tx1"/>
                  </w14:solidFill>
                </w14:textFill>
              </w:rPr>
            </w:pPr>
            <w:r>
              <w:rPr>
                <w:rFonts w:hint="default" w:ascii="Times New Roman" w:hAnsi="Times New Roman" w:cs="Times New Roman"/>
                <w:bCs/>
                <w:sz w:val="20"/>
                <w:szCs w:val="20"/>
              </w:rPr>
              <w:t xml:space="preserve">R$ </w:t>
            </w:r>
            <w:r>
              <w:rPr>
                <w:rFonts w:hint="default" w:ascii="Times New Roman" w:hAnsi="Times New Roman" w:cs="Times New Roman"/>
                <w:bCs/>
                <w:sz w:val="20"/>
                <w:szCs w:val="20"/>
                <w:lang w:val="pt-BR"/>
              </w:rPr>
              <w:t>1.41</w:t>
            </w:r>
            <w:r>
              <w:rPr>
                <w:rFonts w:hint="default" w:ascii="Times New Roman" w:hAnsi="Times New Roman" w:cs="Times New Roman"/>
                <w:bCs/>
                <w:sz w:val="20"/>
                <w:szCs w:val="20"/>
              </w:rPr>
              <w:t>0,00</w:t>
            </w:r>
          </w:p>
        </w:tc>
        <w:tc>
          <w:tcPr>
            <w:tcW w:w="1188" w:type="dxa"/>
            <w:vMerge w:val="continue"/>
            <w:tcBorders>
              <w:left w:val="single" w:color="auto" w:sz="4" w:space="0"/>
              <w:bottom w:val="single" w:color="auto" w:sz="4" w:space="0"/>
              <w:right w:val="single" w:color="auto" w:sz="4" w:space="0"/>
            </w:tcBorders>
          </w:tcPr>
          <w:p w14:paraId="06E52E67">
            <w:pPr>
              <w:jc w:val="both"/>
              <w:rPr>
                <w:rFonts w:ascii="Arial" w:hAnsi="Arial" w:eastAsia="SimSun" w:cs="Arial"/>
                <w:b/>
                <w:bCs/>
                <w:i w:val="0"/>
                <w:iCs w:val="0"/>
                <w:caps w:val="0"/>
                <w:color w:val="000000"/>
                <w:spacing w:val="0"/>
                <w:sz w:val="18"/>
                <w:szCs w:val="18"/>
                <w:shd w:val="clear" w:fill="F7F7F7"/>
              </w:rPr>
            </w:pPr>
          </w:p>
        </w:tc>
      </w:tr>
    </w:tbl>
    <w:p w14:paraId="7EC7D032">
      <w:pPr>
        <w:jc w:val="both"/>
        <w:rPr>
          <w:bCs/>
          <w:i/>
          <w:sz w:val="24"/>
          <w:u w:val="single"/>
        </w:rPr>
      </w:pPr>
    </w:p>
    <w:p w14:paraId="3AE9178D">
      <w:pPr>
        <w:jc w:val="both"/>
        <w:rPr>
          <w:rFonts w:hint="default" w:ascii="Times New Roman" w:hAnsi="Times New Roman"/>
          <w:bCs/>
          <w:szCs w:val="28"/>
          <w:lang w:val="pt-BR"/>
        </w:rPr>
      </w:pPr>
      <w:r>
        <w:rPr>
          <w:rFonts w:ascii="Times New Roman" w:hAnsi="Times New Roman"/>
          <w:b/>
          <w:szCs w:val="28"/>
        </w:rPr>
        <w:t>1.2. Classificação do objeto</w:t>
      </w:r>
      <w:r>
        <w:rPr>
          <w:rFonts w:ascii="Times New Roman" w:hAnsi="Times New Roman"/>
          <w:bCs/>
          <w:szCs w:val="28"/>
        </w:rPr>
        <w:t>:</w:t>
      </w:r>
      <w:r>
        <w:rPr>
          <w:rFonts w:hint="default" w:ascii="Times New Roman" w:hAnsi="Times New Roman"/>
          <w:bCs/>
          <w:szCs w:val="28"/>
          <w:lang w:val="pt-BR"/>
        </w:rPr>
        <w:t xml:space="preserve"> </w:t>
      </w:r>
    </w:p>
    <w:p w14:paraId="3C7FF7C6">
      <w:pPr>
        <w:jc w:val="both"/>
        <w:rPr>
          <w:rFonts w:hint="default" w:ascii="Times New Roman" w:hAnsi="Times New Roman" w:cs="Times New Roman"/>
          <w:bCs/>
          <w:sz w:val="28"/>
          <w:szCs w:val="28"/>
          <w:lang w:val="pt-BR"/>
        </w:rPr>
      </w:pPr>
      <w:r>
        <w:rPr>
          <w:rFonts w:hint="default" w:ascii="Times New Roman" w:hAnsi="Times New Roman" w:cs="Times New Roman"/>
          <w:bCs/>
          <w:sz w:val="28"/>
          <w:szCs w:val="28"/>
          <w:lang w:val="pt-BR"/>
        </w:rPr>
        <w:t>Calçados de segurança.</w:t>
      </w:r>
    </w:p>
    <w:p w14:paraId="6B43CB9C">
      <w:pPr>
        <w:jc w:val="both"/>
        <w:rPr>
          <w:rFonts w:hint="default" w:ascii="Times New Roman" w:hAnsi="Times New Roman"/>
          <w:bCs/>
          <w:szCs w:val="28"/>
          <w:lang w:val="pt-BR"/>
        </w:rPr>
      </w:pPr>
    </w:p>
    <w:p w14:paraId="4085D3F0">
      <w:pPr>
        <w:jc w:val="both"/>
        <w:rPr>
          <w:rFonts w:ascii="Times New Roman" w:hAnsi="Times New Roman"/>
          <w:szCs w:val="28"/>
        </w:rPr>
      </w:pPr>
      <w:r>
        <w:rPr>
          <w:rFonts w:ascii="Times New Roman" w:hAnsi="Times New Roman"/>
          <w:b/>
          <w:szCs w:val="28"/>
        </w:rPr>
        <w:t>1.3. Critério de Julgamento</w:t>
      </w:r>
      <w:r>
        <w:rPr>
          <w:rFonts w:ascii="Times New Roman" w:hAnsi="Times New Roman"/>
          <w:szCs w:val="28"/>
        </w:rPr>
        <w:t xml:space="preserve">: </w:t>
      </w:r>
    </w:p>
    <w:p w14:paraId="7EBD4C92">
      <w:pPr>
        <w:jc w:val="both"/>
        <w:rPr>
          <w:rFonts w:hint="default" w:ascii="Times New Roman" w:hAnsi="Times New Roman"/>
          <w:szCs w:val="28"/>
          <w:lang w:val="pt-BR"/>
        </w:rPr>
      </w:pPr>
      <w:r>
        <w:rPr>
          <w:rFonts w:hint="default" w:ascii="Times New Roman" w:hAnsi="Times New Roman"/>
          <w:szCs w:val="28"/>
          <w:lang w:val="pt-BR"/>
        </w:rPr>
        <w:t>Menor Preço Unitário.</w:t>
      </w:r>
    </w:p>
    <w:p w14:paraId="534A7C77">
      <w:pPr>
        <w:jc w:val="both"/>
        <w:rPr>
          <w:rFonts w:hint="default" w:ascii="Times New Roman" w:hAnsi="Times New Roman"/>
          <w:szCs w:val="28"/>
          <w:lang w:val="pt-BR"/>
        </w:rPr>
      </w:pPr>
    </w:p>
    <w:p w14:paraId="56F45DF0">
      <w:pPr>
        <w:jc w:val="both"/>
        <w:rPr>
          <w:rFonts w:ascii="Times New Roman" w:hAnsi="Times New Roman"/>
          <w:bCs/>
          <w:szCs w:val="28"/>
        </w:rPr>
      </w:pPr>
      <w:r>
        <w:rPr>
          <w:rFonts w:ascii="Times New Roman" w:hAnsi="Times New Roman"/>
          <w:b/>
          <w:szCs w:val="28"/>
        </w:rPr>
        <w:t>1.4. Justificativa para dispensa dos documentos solicitados</w:t>
      </w:r>
      <w:r>
        <w:rPr>
          <w:rFonts w:ascii="Times New Roman" w:hAnsi="Times New Roman"/>
          <w:bCs/>
          <w:szCs w:val="28"/>
        </w:rPr>
        <w:t xml:space="preserve">: </w:t>
      </w:r>
    </w:p>
    <w:p w14:paraId="08D1D87D">
      <w:pPr>
        <w:jc w:val="both"/>
        <w:rPr>
          <w:rFonts w:hint="default" w:ascii="Times New Roman" w:hAnsi="Times New Roman"/>
          <w:bCs/>
          <w:szCs w:val="28"/>
          <w:lang w:val="pt-BR"/>
        </w:rPr>
      </w:pPr>
      <w:r>
        <w:rPr>
          <w:rFonts w:hint="default" w:ascii="Times New Roman" w:hAnsi="Times New Roman"/>
          <w:bCs/>
          <w:szCs w:val="28"/>
          <w:lang w:val="pt-BR"/>
        </w:rPr>
        <w:t>É dispensado projeto Básico/Análise de Risco por se tratar de Aquisição de Equipamentos de Proteção Individual.</w:t>
      </w:r>
    </w:p>
    <w:p w14:paraId="0A3837E6">
      <w:pPr>
        <w:jc w:val="both"/>
        <w:rPr>
          <w:rFonts w:ascii="Times New Roman" w:hAnsi="Times New Roman"/>
          <w:bCs/>
          <w:szCs w:val="28"/>
        </w:rPr>
      </w:pPr>
    </w:p>
    <w:p w14:paraId="3D76651A">
      <w:pPr>
        <w:jc w:val="both"/>
        <w:rPr>
          <w:rFonts w:ascii="Times New Roman" w:hAnsi="Times New Roman"/>
          <w:bCs/>
          <w:szCs w:val="28"/>
        </w:rPr>
      </w:pPr>
      <w:r>
        <w:rPr>
          <w:rFonts w:ascii="Times New Roman" w:hAnsi="Times New Roman"/>
          <w:b/>
          <w:szCs w:val="28"/>
        </w:rPr>
        <w:t>1.5. Valor total:</w:t>
      </w:r>
      <w:r>
        <w:rPr>
          <w:rFonts w:ascii="Times New Roman" w:hAnsi="Times New Roman"/>
          <w:bCs/>
          <w:szCs w:val="28"/>
        </w:rPr>
        <w:t xml:space="preserve"> </w:t>
      </w:r>
    </w:p>
    <w:p w14:paraId="681415D9">
      <w:pPr>
        <w:jc w:val="both"/>
        <w:rPr>
          <w:rFonts w:ascii="Times New Roman" w:hAnsi="Times New Roman"/>
          <w:bCs/>
          <w:szCs w:val="28"/>
        </w:rPr>
      </w:pPr>
      <w:r>
        <w:rPr>
          <w:rFonts w:ascii="Times New Roman" w:hAnsi="Times New Roman"/>
          <w:bCs/>
          <w:szCs w:val="28"/>
        </w:rPr>
        <w:t>O valor total para a execução do objeto descrito acima é de</w:t>
      </w:r>
      <w:r>
        <w:rPr>
          <w:rFonts w:hint="default" w:ascii="Times New Roman" w:hAnsi="Times New Roman"/>
          <w:bCs/>
          <w:szCs w:val="28"/>
          <w:lang w:val="pt-BR"/>
        </w:rPr>
        <w:t xml:space="preserve"> aproximadamente</w:t>
      </w:r>
      <w:r>
        <w:rPr>
          <w:rFonts w:ascii="Times New Roman" w:hAnsi="Times New Roman"/>
          <w:bCs/>
          <w:szCs w:val="28"/>
        </w:rPr>
        <w:t xml:space="preserve"> </w:t>
      </w:r>
      <w:r>
        <w:rPr>
          <w:rFonts w:hint="default" w:ascii="Times New Roman" w:hAnsi="Times New Roman" w:cs="Times New Roman"/>
          <w:bCs/>
          <w:i w:val="0"/>
          <w:iCs/>
          <w:sz w:val="28"/>
          <w:szCs w:val="28"/>
          <w:u w:val="none"/>
        </w:rPr>
        <w:t xml:space="preserve">R$ </w:t>
      </w:r>
      <w:r>
        <w:rPr>
          <w:rFonts w:hint="default" w:ascii="Times New Roman" w:hAnsi="Times New Roman" w:cs="Times New Roman"/>
          <w:bCs/>
          <w:i w:val="0"/>
          <w:iCs/>
          <w:sz w:val="28"/>
          <w:szCs w:val="28"/>
          <w:u w:val="none"/>
          <w:lang w:val="pt-BR"/>
        </w:rPr>
        <w:t>5.640,</w:t>
      </w:r>
      <w:r>
        <w:rPr>
          <w:rFonts w:hint="default" w:ascii="Times New Roman" w:hAnsi="Times New Roman" w:cs="Times New Roman"/>
          <w:bCs/>
          <w:i w:val="0"/>
          <w:iCs/>
          <w:sz w:val="28"/>
          <w:szCs w:val="28"/>
          <w:u w:val="none"/>
        </w:rPr>
        <w:t>00</w:t>
      </w:r>
      <w:r>
        <w:rPr>
          <w:rFonts w:hint="default" w:ascii="Times New Roman" w:hAnsi="Times New Roman" w:cs="Times New Roman"/>
          <w:bCs/>
          <w:i w:val="0"/>
          <w:iCs/>
          <w:sz w:val="28"/>
          <w:szCs w:val="28"/>
          <w:u w:val="none"/>
          <w:lang w:val="pt-BR"/>
        </w:rPr>
        <w:t xml:space="preserve"> (cinco mil e seiscentos e quarenta reais),</w:t>
      </w:r>
      <w:r>
        <w:rPr>
          <w:rFonts w:hint="default" w:ascii="Times New Roman" w:hAnsi="Times New Roman"/>
          <w:bCs/>
          <w:i w:val="0"/>
          <w:iCs/>
          <w:szCs w:val="28"/>
          <w:u w:val="none"/>
          <w:lang w:val="pt-BR"/>
        </w:rPr>
        <w:t xml:space="preserve"> </w:t>
      </w:r>
      <w:r>
        <w:rPr>
          <w:rFonts w:ascii="Times New Roman" w:hAnsi="Times New Roman"/>
          <w:bCs/>
          <w:szCs w:val="28"/>
        </w:rPr>
        <w:t>considerando os valores obtidos na pesquisa de mercado</w:t>
      </w:r>
      <w:r>
        <w:rPr>
          <w:rFonts w:hint="default" w:ascii="Times New Roman" w:hAnsi="Times New Roman"/>
          <w:bCs/>
          <w:szCs w:val="28"/>
          <w:lang w:val="pt-BR"/>
        </w:rPr>
        <w:t xml:space="preserve"> regional</w:t>
      </w:r>
      <w:r>
        <w:rPr>
          <w:rFonts w:ascii="Times New Roman" w:hAnsi="Times New Roman"/>
          <w:bCs/>
          <w:szCs w:val="28"/>
        </w:rPr>
        <w:t>.</w:t>
      </w:r>
    </w:p>
    <w:p w14:paraId="0E968317">
      <w:pPr>
        <w:jc w:val="both"/>
        <w:rPr>
          <w:rFonts w:hint="default" w:ascii="Times New Roman" w:hAnsi="Times New Roman"/>
          <w:bCs/>
          <w:szCs w:val="28"/>
          <w:lang w:val="pt-BR"/>
        </w:rPr>
      </w:pPr>
    </w:p>
    <w:p w14:paraId="2F4713ED">
      <w:pPr>
        <w:jc w:val="both"/>
        <w:rPr>
          <w:rFonts w:ascii="Times New Roman" w:hAnsi="Times New Roman"/>
          <w:bCs/>
          <w:szCs w:val="28"/>
        </w:rPr>
      </w:pPr>
      <w:r>
        <w:rPr>
          <w:rFonts w:hint="default" w:ascii="Times New Roman" w:hAnsi="Times New Roman"/>
          <w:bCs/>
          <w:szCs w:val="28"/>
          <w:lang w:val="pt-BR"/>
        </w:rPr>
        <w:t xml:space="preserve"> </w:t>
      </w:r>
      <w:r>
        <w:rPr>
          <w:rFonts w:ascii="Times New Roman" w:hAnsi="Times New Roman"/>
          <w:b/>
          <w:szCs w:val="28"/>
        </w:rPr>
        <w:t>1.6. Registro de Preços:</w:t>
      </w:r>
      <w:r>
        <w:rPr>
          <w:rFonts w:ascii="Times New Roman" w:hAnsi="Times New Roman"/>
          <w:bCs/>
          <w:szCs w:val="28"/>
        </w:rPr>
        <w:t xml:space="preserve"> </w:t>
      </w:r>
    </w:p>
    <w:p w14:paraId="4B54ED6C">
      <w:pPr>
        <w:jc w:val="both"/>
        <w:rPr>
          <w:rFonts w:ascii="Times New Roman" w:hAnsi="Times New Roman"/>
          <w:bCs/>
          <w:szCs w:val="28"/>
        </w:rPr>
      </w:pPr>
      <w:r>
        <w:rPr>
          <w:rFonts w:ascii="Times New Roman" w:hAnsi="Times New Roman"/>
          <w:bCs/>
          <w:szCs w:val="28"/>
        </w:rPr>
        <w:t xml:space="preserve">(  ) SIM    ( </w:t>
      </w:r>
      <w:r>
        <w:rPr>
          <w:rFonts w:hint="default" w:ascii="Times New Roman" w:hAnsi="Times New Roman"/>
          <w:bCs/>
          <w:szCs w:val="28"/>
          <w:lang w:val="pt-BR"/>
        </w:rPr>
        <w:t>x</w:t>
      </w:r>
      <w:r>
        <w:rPr>
          <w:rFonts w:ascii="Times New Roman" w:hAnsi="Times New Roman"/>
          <w:bCs/>
          <w:szCs w:val="28"/>
        </w:rPr>
        <w:t xml:space="preserve"> ) NÃO </w:t>
      </w:r>
    </w:p>
    <w:p w14:paraId="5B5AD65C">
      <w:pPr>
        <w:jc w:val="both"/>
        <w:rPr>
          <w:rFonts w:ascii="Times New Roman" w:hAnsi="Times New Roman"/>
          <w:bCs/>
          <w:szCs w:val="28"/>
        </w:rPr>
      </w:pPr>
    </w:p>
    <w:p w14:paraId="2C63EDD4">
      <w:pPr>
        <w:jc w:val="both"/>
        <w:rPr>
          <w:rFonts w:ascii="Times New Roman" w:hAnsi="Times New Roman"/>
          <w:b/>
          <w:bCs/>
          <w:szCs w:val="28"/>
        </w:rPr>
      </w:pPr>
      <w:r>
        <w:rPr>
          <w:rFonts w:ascii="Times New Roman" w:hAnsi="Times New Roman"/>
          <w:b/>
          <w:bCs/>
          <w:szCs w:val="28"/>
        </w:rPr>
        <w:t>2- Justificativa:</w:t>
      </w:r>
    </w:p>
    <w:p w14:paraId="5789EF2B">
      <w:pPr>
        <w:jc w:val="both"/>
        <w:rPr>
          <w:rFonts w:hint="default" w:ascii="Times New Roman" w:hAnsi="Times New Roman" w:cs="Times New Roman"/>
          <w:bCs/>
          <w:sz w:val="28"/>
          <w:szCs w:val="28"/>
          <w:lang w:val="pt-BR"/>
        </w:rPr>
      </w:pPr>
      <w:r>
        <w:rPr>
          <w:rFonts w:hint="default" w:ascii="Times New Roman" w:hAnsi="Times New Roman" w:cs="Times New Roman"/>
          <w:bCs/>
          <w:sz w:val="28"/>
          <w:szCs w:val="28"/>
          <w:lang w:val="pt-BR"/>
        </w:rPr>
        <w:t>Necessário atender a demanda de EPI exigida pelos colaboradores desta prefeitura na realização de suas atividades diárias. E também atender a NR n°6 de equipamentos de proteção individual, para oferecer proteção contra os riscos ocupacionais existentes no ambiente de trabalho. Desta forma, essa contratação visa garantir condições adequadas de prevenção dos riscos ocupacionais aos colaboradores desta prefeitura.</w:t>
      </w:r>
    </w:p>
    <w:p w14:paraId="659A1502">
      <w:pPr>
        <w:autoSpaceDE w:val="0"/>
        <w:autoSpaceDN w:val="0"/>
        <w:adjustRightInd w:val="0"/>
        <w:jc w:val="both"/>
        <w:rPr>
          <w:rFonts w:hint="default" w:ascii="SimSun" w:hAnsi="SimSun" w:eastAsia="SimSun" w:cs="SimSun"/>
          <w:sz w:val="24"/>
          <w:szCs w:val="24"/>
          <w:lang w:val="pt-BR"/>
        </w:rPr>
      </w:pPr>
    </w:p>
    <w:p w14:paraId="6431F941">
      <w:pPr>
        <w:autoSpaceDE w:val="0"/>
        <w:autoSpaceDN w:val="0"/>
        <w:adjustRightInd w:val="0"/>
        <w:jc w:val="both"/>
        <w:rPr>
          <w:rFonts w:ascii="Times New Roman" w:hAnsi="Times New Roman"/>
          <w:b/>
          <w:bCs/>
          <w:szCs w:val="28"/>
        </w:rPr>
      </w:pPr>
      <w:r>
        <w:rPr>
          <w:rFonts w:ascii="Times New Roman" w:hAnsi="Times New Roman"/>
          <w:b/>
          <w:bCs/>
          <w:szCs w:val="28"/>
        </w:rPr>
        <w:t xml:space="preserve">3- Dotação orçamentária (Lei de responsabilidade fiscal LC101/00 art. 16 em especial)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4296"/>
        <w:gridCol w:w="2534"/>
      </w:tblGrid>
      <w:tr w14:paraId="1C561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shd w:val="clear" w:color="auto" w:fill="auto"/>
          </w:tcPr>
          <w:p w14:paraId="3DD3EF25">
            <w:pPr>
              <w:jc w:val="both"/>
              <w:rPr>
                <w:rFonts w:ascii="Times New Roman" w:hAnsi="Times New Roman"/>
                <w:bCs/>
                <w:szCs w:val="28"/>
              </w:rPr>
            </w:pPr>
            <w:r>
              <w:rPr>
                <w:rFonts w:ascii="Times New Roman" w:hAnsi="Times New Roman"/>
                <w:bCs/>
                <w:szCs w:val="28"/>
              </w:rPr>
              <w:t>Reduzido</w:t>
            </w:r>
          </w:p>
        </w:tc>
        <w:tc>
          <w:tcPr>
            <w:tcW w:w="4296" w:type="dxa"/>
            <w:shd w:val="clear" w:color="auto" w:fill="auto"/>
          </w:tcPr>
          <w:p w14:paraId="622CCEFD">
            <w:pPr>
              <w:jc w:val="both"/>
              <w:rPr>
                <w:rFonts w:ascii="Times New Roman" w:hAnsi="Times New Roman"/>
                <w:bCs/>
                <w:szCs w:val="28"/>
              </w:rPr>
            </w:pPr>
            <w:r>
              <w:rPr>
                <w:rFonts w:ascii="Times New Roman" w:hAnsi="Times New Roman"/>
                <w:bCs/>
                <w:szCs w:val="28"/>
              </w:rPr>
              <w:t>Programática</w:t>
            </w:r>
          </w:p>
        </w:tc>
        <w:tc>
          <w:tcPr>
            <w:tcW w:w="2534" w:type="dxa"/>
            <w:shd w:val="clear" w:color="auto" w:fill="auto"/>
          </w:tcPr>
          <w:p w14:paraId="04764F00">
            <w:pPr>
              <w:jc w:val="both"/>
              <w:rPr>
                <w:rFonts w:ascii="Times New Roman" w:hAnsi="Times New Roman"/>
                <w:bCs/>
                <w:szCs w:val="28"/>
              </w:rPr>
            </w:pPr>
            <w:r>
              <w:rPr>
                <w:rFonts w:ascii="Times New Roman" w:hAnsi="Times New Roman"/>
                <w:bCs/>
                <w:szCs w:val="28"/>
              </w:rPr>
              <w:t>Fonte</w:t>
            </w:r>
          </w:p>
        </w:tc>
      </w:tr>
      <w:tr w14:paraId="37FE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shd w:val="clear" w:color="auto" w:fill="auto"/>
          </w:tcPr>
          <w:p w14:paraId="1A759D78">
            <w:pPr>
              <w:jc w:val="center"/>
              <w:rPr>
                <w:rFonts w:hint="default" w:ascii="Times New Roman" w:hAnsi="Times New Roman" w:cs="Times New Roman"/>
                <w:bCs/>
                <w:sz w:val="28"/>
                <w:szCs w:val="28"/>
                <w:lang w:val="pt-BR"/>
              </w:rPr>
            </w:pPr>
            <w:r>
              <w:rPr>
                <w:rFonts w:hint="default" w:ascii="Times New Roman" w:hAnsi="Times New Roman" w:cs="Times New Roman"/>
                <w:bCs/>
                <w:sz w:val="28"/>
                <w:szCs w:val="28"/>
                <w:lang w:val="pt-BR"/>
              </w:rPr>
              <w:t>624</w:t>
            </w:r>
          </w:p>
        </w:tc>
        <w:tc>
          <w:tcPr>
            <w:tcW w:w="4296" w:type="dxa"/>
            <w:shd w:val="clear" w:color="auto" w:fill="auto"/>
          </w:tcPr>
          <w:p w14:paraId="6F04335D">
            <w:pPr>
              <w:jc w:val="center"/>
              <w:rPr>
                <w:rFonts w:hint="default" w:ascii="Times New Roman" w:hAnsi="Times New Roman" w:cs="Times New Roman"/>
                <w:bCs/>
                <w:sz w:val="28"/>
                <w:szCs w:val="28"/>
                <w:lang w:val="pt-BR"/>
              </w:rPr>
            </w:pPr>
            <w:r>
              <w:rPr>
                <w:rFonts w:hint="default" w:ascii="Times New Roman" w:hAnsi="Times New Roman" w:eastAsia="SimSun" w:cs="Times New Roman"/>
                <w:sz w:val="24"/>
                <w:szCs w:val="24"/>
                <w:lang w:val="pt-BR"/>
              </w:rPr>
              <w:t>3.6000.6396772/02-400</w:t>
            </w:r>
            <w:r>
              <w:rPr>
                <w:rFonts w:hint="default" w:ascii="Times New Roman" w:hAnsi="Times New Roman" w:eastAsia="SimSun" w:cs="Times New Roman"/>
                <w:sz w:val="24"/>
                <w:szCs w:val="24"/>
              </w:rPr>
              <w:t xml:space="preserve"> - Emenda</w:t>
            </w:r>
          </w:p>
        </w:tc>
        <w:tc>
          <w:tcPr>
            <w:tcW w:w="2534" w:type="dxa"/>
            <w:shd w:val="clear" w:color="auto" w:fill="auto"/>
          </w:tcPr>
          <w:p w14:paraId="170423CE">
            <w:pPr>
              <w:jc w:val="center"/>
              <w:rPr>
                <w:rFonts w:hint="default" w:ascii="Times New Roman" w:hAnsi="Times New Roman"/>
                <w:bCs/>
                <w:szCs w:val="28"/>
                <w:lang w:val="pt-BR"/>
              </w:rPr>
            </w:pPr>
            <w:r>
              <w:rPr>
                <w:rFonts w:hint="default" w:ascii="Times New Roman" w:hAnsi="Times New Roman"/>
                <w:bCs/>
                <w:szCs w:val="28"/>
                <w:lang w:val="pt-BR"/>
              </w:rPr>
              <w:t>Recursos Federal</w:t>
            </w:r>
          </w:p>
        </w:tc>
      </w:tr>
    </w:tbl>
    <w:p w14:paraId="26C3C21A">
      <w:pPr>
        <w:jc w:val="both"/>
        <w:rPr>
          <w:rFonts w:ascii="Times New Roman" w:hAnsi="Times New Roman"/>
          <w:color w:val="FF0000"/>
          <w:szCs w:val="28"/>
        </w:rPr>
      </w:pPr>
    </w:p>
    <w:p w14:paraId="2AFCA7E1">
      <w:pPr>
        <w:jc w:val="both"/>
        <w:rPr>
          <w:rFonts w:ascii="Times New Roman" w:hAnsi="Times New Roman"/>
          <w:b/>
          <w:bCs/>
          <w:szCs w:val="28"/>
        </w:rPr>
      </w:pPr>
      <w:r>
        <w:rPr>
          <w:rFonts w:ascii="Times New Roman" w:hAnsi="Times New Roman"/>
          <w:b/>
          <w:bCs/>
          <w:szCs w:val="28"/>
        </w:rPr>
        <w:t>4- Condições de habilitação:</w:t>
      </w:r>
    </w:p>
    <w:p w14:paraId="54CCFF96">
      <w:pPr>
        <w:jc w:val="both"/>
        <w:rPr>
          <w:rFonts w:hint="default" w:ascii="Times New Roman" w:hAnsi="Times New Roman"/>
          <w:b w:val="0"/>
          <w:bCs w:val="0"/>
          <w:szCs w:val="28"/>
          <w:lang w:val="pt-BR"/>
        </w:rPr>
      </w:pPr>
      <w:r>
        <w:rPr>
          <w:rFonts w:hint="default" w:ascii="Times New Roman" w:hAnsi="Times New Roman"/>
          <w:b w:val="0"/>
          <w:bCs w:val="0"/>
          <w:szCs w:val="28"/>
          <w:lang w:val="pt-BR"/>
        </w:rPr>
        <w:t>A empresa contratada deverá possuir CNPJ ativo e CNAE conforme exigido no item 01 deste termo.</w:t>
      </w:r>
    </w:p>
    <w:p w14:paraId="14DBB013">
      <w:pPr>
        <w:jc w:val="both"/>
        <w:rPr>
          <w:rFonts w:hint="default" w:ascii="Times New Roman" w:hAnsi="Times New Roman"/>
          <w:b w:val="0"/>
          <w:bCs w:val="0"/>
          <w:szCs w:val="28"/>
          <w:lang w:val="pt-BR"/>
        </w:rPr>
      </w:pPr>
    </w:p>
    <w:p w14:paraId="42B053D5">
      <w:pPr>
        <w:jc w:val="both"/>
        <w:rPr>
          <w:rFonts w:ascii="Times New Roman" w:hAnsi="Times New Roman"/>
          <w:b/>
          <w:bCs/>
          <w:szCs w:val="28"/>
        </w:rPr>
      </w:pPr>
      <w:r>
        <w:rPr>
          <w:rFonts w:ascii="Times New Roman" w:hAnsi="Times New Roman"/>
          <w:b/>
          <w:bCs/>
          <w:szCs w:val="28"/>
        </w:rPr>
        <w:t>5- Condições de execução do objeto:</w:t>
      </w:r>
    </w:p>
    <w:p w14:paraId="77E9F14D">
      <w:pPr>
        <w:jc w:val="both"/>
        <w:rPr>
          <w:rFonts w:ascii="Times New Roman" w:hAnsi="Times New Roman"/>
          <w:b/>
          <w:bCs/>
          <w:szCs w:val="28"/>
        </w:rPr>
      </w:pPr>
      <w:r>
        <w:rPr>
          <w:rFonts w:ascii="Times New Roman" w:hAnsi="Times New Roman"/>
          <w:b/>
          <w:bCs/>
          <w:szCs w:val="28"/>
        </w:rPr>
        <w:t>5.1 – Prazo e forma de entrega/execução:</w:t>
      </w:r>
    </w:p>
    <w:p w14:paraId="049A62DC">
      <w:pPr>
        <w:jc w:val="both"/>
        <w:rPr>
          <w:rFonts w:hint="default" w:ascii="Times New Roman" w:hAnsi="Times New Roman" w:eastAsia="SimSun" w:cs="Times New Roman"/>
          <w:sz w:val="28"/>
          <w:szCs w:val="28"/>
          <w:lang w:val="pt-BR"/>
        </w:rPr>
      </w:pPr>
      <w:r>
        <w:rPr>
          <w:rFonts w:hint="default" w:ascii="Times New Roman" w:hAnsi="Times New Roman" w:eastAsia="SimSun" w:cs="Times New Roman"/>
          <w:sz w:val="28"/>
          <w:szCs w:val="28"/>
        </w:rPr>
        <w:t xml:space="preserve">Prazo de </w:t>
      </w:r>
      <w:r>
        <w:rPr>
          <w:rFonts w:hint="default" w:ascii="Times New Roman" w:hAnsi="Times New Roman" w:eastAsia="SimSun" w:cs="Times New Roman"/>
          <w:sz w:val="28"/>
          <w:szCs w:val="28"/>
          <w:lang w:val="pt-BR"/>
        </w:rPr>
        <w:t xml:space="preserve">15 </w:t>
      </w:r>
      <w:r>
        <w:rPr>
          <w:rFonts w:hint="default" w:ascii="Times New Roman" w:hAnsi="Times New Roman" w:eastAsia="SimSun" w:cs="Times New Roman"/>
          <w:sz w:val="28"/>
          <w:szCs w:val="28"/>
        </w:rPr>
        <w:t>dias a contar a data de recebimento do empenho</w:t>
      </w:r>
      <w:r>
        <w:rPr>
          <w:rFonts w:hint="default" w:ascii="Times New Roman" w:hAnsi="Times New Roman" w:eastAsia="SimSun" w:cs="Times New Roman"/>
          <w:sz w:val="28"/>
          <w:szCs w:val="28"/>
          <w:lang w:val="pt-BR"/>
        </w:rPr>
        <w:t>. Entrega total única.</w:t>
      </w:r>
    </w:p>
    <w:p w14:paraId="1C351C41">
      <w:pPr>
        <w:jc w:val="both"/>
        <w:rPr>
          <w:rFonts w:ascii="SimSun" w:hAnsi="SimSun" w:eastAsia="SimSun" w:cs="SimSun"/>
          <w:sz w:val="24"/>
          <w:szCs w:val="24"/>
        </w:rPr>
      </w:pPr>
    </w:p>
    <w:p w14:paraId="5E64205C">
      <w:pPr>
        <w:jc w:val="both"/>
        <w:rPr>
          <w:rFonts w:ascii="Times New Roman" w:hAnsi="Times New Roman"/>
          <w:b/>
          <w:bCs/>
          <w:szCs w:val="28"/>
        </w:rPr>
      </w:pPr>
      <w:r>
        <w:rPr>
          <w:rFonts w:ascii="Times New Roman" w:hAnsi="Times New Roman"/>
          <w:b/>
          <w:bCs/>
          <w:szCs w:val="28"/>
        </w:rPr>
        <w:t>5.2 – Local de entrega/execução, responsável pelo recebimento do objeto:</w:t>
      </w:r>
    </w:p>
    <w:p w14:paraId="3DA14686">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Entrega deverá ser realizada no Almoxarifado Municipal de Quatá, localizado no endereço: Rua Ca</w:t>
      </w:r>
      <w:r>
        <w:rPr>
          <w:rFonts w:hint="default" w:ascii="Times New Roman" w:hAnsi="Times New Roman" w:eastAsia="SimSun" w:cs="Times New Roman"/>
          <w:sz w:val="28"/>
          <w:szCs w:val="28"/>
          <w:lang w:val="pt-BR"/>
        </w:rPr>
        <w:t>r</w:t>
      </w:r>
      <w:r>
        <w:rPr>
          <w:rFonts w:hint="default" w:ascii="Times New Roman" w:hAnsi="Times New Roman" w:eastAsia="SimSun" w:cs="Times New Roman"/>
          <w:sz w:val="28"/>
          <w:szCs w:val="28"/>
        </w:rPr>
        <w:t xml:space="preserve">los Bleinroth S/N - Quatá-SP, CEP: 19780-025. </w:t>
      </w:r>
    </w:p>
    <w:p w14:paraId="2E1273FF">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Horário de recebimento das 07h às 10h e das 13h às 16h. </w:t>
      </w:r>
    </w:p>
    <w:p w14:paraId="7EA5DCC0">
      <w:p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Responsável pelo recebimento: José Airton Vieira De Jesus.</w:t>
      </w:r>
    </w:p>
    <w:p w14:paraId="2BB48E9D">
      <w:pPr>
        <w:jc w:val="both"/>
        <w:rPr>
          <w:rFonts w:hint="default" w:ascii="SimSun" w:hAnsi="SimSun" w:eastAsia="SimSun" w:cs="SimSun"/>
          <w:sz w:val="24"/>
          <w:szCs w:val="24"/>
          <w:lang w:val="pt-BR"/>
        </w:rPr>
      </w:pPr>
    </w:p>
    <w:p w14:paraId="4C4CAA6C">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5.3 – Condições de garantia e assistência técnica:</w:t>
      </w:r>
    </w:p>
    <w:p w14:paraId="79176A53">
      <w:pPr>
        <w:spacing w:before="0" w:after="0" w:line="240" w:lineRule="auto"/>
        <w:ind w:left="0" w:right="0" w:firstLine="0"/>
        <w:jc w:val="both"/>
        <w:rPr>
          <w:rFonts w:hint="default" w:ascii="Times New Roman" w:hAnsi="Times New Roman" w:cs="Times New Roman"/>
          <w:color w:val="auto"/>
          <w:spacing w:val="0"/>
          <w:position w:val="0"/>
          <w:sz w:val="28"/>
          <w:shd w:val="clear" w:fill="auto"/>
          <w:lang w:val="pt-BR"/>
        </w:rPr>
      </w:pPr>
      <w:r>
        <w:rPr>
          <w:rFonts w:hint="default" w:ascii="Times New Roman" w:hAnsi="Times New Roman" w:cs="Times New Roman"/>
          <w:color w:val="auto"/>
          <w:spacing w:val="0"/>
          <w:position w:val="0"/>
          <w:sz w:val="28"/>
          <w:shd w:val="clear" w:fill="auto"/>
          <w:lang w:val="pt-BR"/>
        </w:rPr>
        <w:t>G</w:t>
      </w:r>
      <w:r>
        <w:rPr>
          <w:rFonts w:ascii="Times New Roman" w:hAnsi="Times New Roman" w:eastAsia="Times New Roman" w:cs="Times New Roman"/>
          <w:color w:val="auto"/>
          <w:spacing w:val="0"/>
          <w:position w:val="0"/>
          <w:sz w:val="28"/>
          <w:shd w:val="clear" w:fill="auto"/>
        </w:rPr>
        <w:t xml:space="preserve">arantia mínima de </w:t>
      </w:r>
      <w:r>
        <w:rPr>
          <w:rFonts w:hint="default" w:ascii="Times New Roman" w:hAnsi="Times New Roman" w:cs="Times New Roman"/>
          <w:color w:val="auto"/>
          <w:spacing w:val="0"/>
          <w:position w:val="0"/>
          <w:sz w:val="28"/>
          <w:shd w:val="clear" w:fill="auto"/>
          <w:lang w:val="pt-BR"/>
        </w:rPr>
        <w:t>90 dias.</w:t>
      </w:r>
    </w:p>
    <w:p w14:paraId="7FE2DB92">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r>
        <w:rPr>
          <w:rFonts w:hint="default" w:ascii="Times New Roman" w:hAnsi="Times New Roman" w:cs="Times New Roman"/>
          <w:color w:val="auto"/>
          <w:spacing w:val="0"/>
          <w:position w:val="0"/>
          <w:sz w:val="28"/>
          <w:shd w:val="clear" w:fill="auto"/>
          <w:lang w:val="pt-BR"/>
        </w:rPr>
        <w:t>Garantia</w:t>
      </w:r>
      <w:r>
        <w:rPr>
          <w:rFonts w:ascii="Times New Roman" w:hAnsi="Times New Roman" w:eastAsia="Times New Roman" w:cs="Times New Roman"/>
          <w:color w:val="auto"/>
          <w:spacing w:val="0"/>
          <w:position w:val="0"/>
          <w:sz w:val="28"/>
          <w:shd w:val="clear" w:fill="auto"/>
        </w:rPr>
        <w:t xml:space="preserve"> contra defeitos de fabricação, caso o produto seja entregue com avaria, a Contratada deverá efetuar a troca do </w:t>
      </w:r>
      <w:r>
        <w:rPr>
          <w:rFonts w:hint="default" w:ascii="Times New Roman" w:hAnsi="Times New Roman" w:cs="Times New Roman"/>
          <w:color w:val="auto"/>
          <w:spacing w:val="0"/>
          <w:position w:val="0"/>
          <w:sz w:val="28"/>
          <w:shd w:val="clear" w:fill="auto"/>
          <w:lang w:val="pt-BR"/>
        </w:rPr>
        <w:t>mesmo</w:t>
      </w:r>
      <w:r>
        <w:rPr>
          <w:rFonts w:ascii="Times New Roman" w:hAnsi="Times New Roman" w:eastAsia="Times New Roman" w:cs="Times New Roman"/>
          <w:color w:val="auto"/>
          <w:spacing w:val="0"/>
          <w:position w:val="0"/>
          <w:sz w:val="28"/>
          <w:shd w:val="clear" w:fill="auto"/>
        </w:rPr>
        <w:t xml:space="preserve">. </w:t>
      </w:r>
    </w:p>
    <w:p w14:paraId="50FA37B9">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p>
    <w:p w14:paraId="12ED1767">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5.4 – Prazo de vigência da contratação:</w:t>
      </w:r>
    </w:p>
    <w:p w14:paraId="12FF9E23">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Vigência de </w:t>
      </w:r>
      <w:r>
        <w:rPr>
          <w:rFonts w:hint="default" w:ascii="Times New Roman" w:hAnsi="Times New Roman" w:cs="Times New Roman"/>
          <w:color w:val="auto"/>
          <w:spacing w:val="0"/>
          <w:position w:val="0"/>
          <w:sz w:val="28"/>
          <w:shd w:val="clear" w:fill="auto"/>
          <w:lang w:val="pt-BR"/>
        </w:rPr>
        <w:t xml:space="preserve">30 </w:t>
      </w:r>
      <w:r>
        <w:rPr>
          <w:rFonts w:ascii="Times New Roman" w:hAnsi="Times New Roman" w:eastAsia="Times New Roman" w:cs="Times New Roman"/>
          <w:color w:val="auto"/>
          <w:spacing w:val="0"/>
          <w:position w:val="0"/>
          <w:sz w:val="28"/>
          <w:shd w:val="clear" w:fill="auto"/>
        </w:rPr>
        <w:t>(</w:t>
      </w:r>
      <w:r>
        <w:rPr>
          <w:rFonts w:hint="default" w:ascii="Times New Roman" w:hAnsi="Times New Roman" w:cs="Times New Roman"/>
          <w:color w:val="auto"/>
          <w:spacing w:val="0"/>
          <w:position w:val="0"/>
          <w:sz w:val="28"/>
          <w:shd w:val="clear" w:fill="auto"/>
          <w:lang w:val="pt-BR"/>
        </w:rPr>
        <w:t>trinta)</w:t>
      </w:r>
      <w:r>
        <w:rPr>
          <w:rFonts w:ascii="Times New Roman" w:hAnsi="Times New Roman" w:eastAsia="Times New Roman" w:cs="Times New Roman"/>
          <w:color w:val="auto"/>
          <w:spacing w:val="0"/>
          <w:position w:val="0"/>
          <w:sz w:val="28"/>
          <w:shd w:val="clear" w:fill="auto"/>
        </w:rPr>
        <w:t xml:space="preserve"> dias úteis a partir do recebimento do empenho.</w:t>
      </w:r>
    </w:p>
    <w:p w14:paraId="7A27A33A">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p>
    <w:p w14:paraId="319CBDDE">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p>
    <w:p w14:paraId="3789CF8E">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5.5- Demais informações necessárias para a execução do objeto:</w:t>
      </w:r>
    </w:p>
    <w:p w14:paraId="583B0901">
      <w:pPr>
        <w:spacing w:before="0" w:after="0" w:line="240" w:lineRule="auto"/>
        <w:ind w:left="0" w:right="0" w:firstLine="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A empresa deverá entregar os </w:t>
      </w:r>
      <w:r>
        <w:rPr>
          <w:rFonts w:hint="default" w:ascii="Times New Roman" w:hAnsi="Times New Roman" w:cs="Times New Roman"/>
          <w:color w:val="auto"/>
          <w:spacing w:val="0"/>
          <w:position w:val="0"/>
          <w:sz w:val="28"/>
          <w:shd w:val="clear" w:fill="auto"/>
          <w:lang w:val="pt-BR"/>
        </w:rPr>
        <w:t>materiais</w:t>
      </w:r>
      <w:r>
        <w:rPr>
          <w:rFonts w:ascii="Times New Roman" w:hAnsi="Times New Roman" w:eastAsia="Times New Roman" w:cs="Times New Roman"/>
          <w:color w:val="auto"/>
          <w:spacing w:val="0"/>
          <w:position w:val="0"/>
          <w:sz w:val="28"/>
          <w:shd w:val="clear" w:fill="auto"/>
        </w:rPr>
        <w:t xml:space="preserve"> em perfeitas condições de uso, sendo de 1ª (primeira) qualidade. </w:t>
      </w:r>
    </w:p>
    <w:p w14:paraId="1BB71409">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p>
    <w:p w14:paraId="0CC2C0B6">
      <w:pPr>
        <w:spacing w:before="0" w:after="0" w:line="240" w:lineRule="auto"/>
        <w:ind w:left="0" w:right="0" w:firstLine="0"/>
        <w:jc w:val="both"/>
        <w:rPr>
          <w:rFonts w:ascii="Times New Roman" w:hAnsi="Times New Roman" w:eastAsia="Times New Roman" w:cs="Times New Roman"/>
          <w:b/>
          <w:color w:val="auto"/>
          <w:spacing w:val="0"/>
          <w:position w:val="0"/>
          <w:sz w:val="28"/>
          <w:shd w:val="clear" w:fill="auto"/>
        </w:rPr>
      </w:pPr>
      <w:r>
        <w:rPr>
          <w:rFonts w:ascii="Times New Roman" w:hAnsi="Times New Roman" w:eastAsia="Times New Roman" w:cs="Times New Roman"/>
          <w:b/>
          <w:color w:val="auto"/>
          <w:spacing w:val="0"/>
          <w:position w:val="0"/>
          <w:sz w:val="28"/>
          <w:shd w:val="clear" w:fill="auto"/>
        </w:rPr>
        <w:t>6- Obrigações da contratada:</w:t>
      </w:r>
    </w:p>
    <w:p w14:paraId="55981346">
      <w:pPr>
        <w:tabs>
          <w:tab w:val="left" w:pos="6825"/>
        </w:tabs>
        <w:jc w:val="both"/>
        <w:rPr>
          <w:rFonts w:hint="default" w:ascii="Times New Roman" w:hAnsi="Times New Roman" w:cs="Times New Roman"/>
          <w:color w:val="auto"/>
          <w:spacing w:val="0"/>
          <w:position w:val="0"/>
          <w:sz w:val="28"/>
          <w:shd w:val="clear" w:fill="auto"/>
          <w:lang w:val="pt-BR"/>
        </w:rPr>
      </w:pPr>
      <w:r>
        <w:rPr>
          <w:rFonts w:ascii="Times New Roman" w:hAnsi="Times New Roman" w:eastAsia="Times New Roman" w:cs="Times New Roman"/>
          <w:color w:val="auto"/>
          <w:spacing w:val="0"/>
          <w:position w:val="0"/>
          <w:sz w:val="28"/>
          <w:shd w:val="clear" w:fill="auto"/>
        </w:rPr>
        <w:t xml:space="preserve">A contratada deverá entregar os produtos conforme as especificações técnicas, prazos e demais condições estabelecidas no presente termo,  deverá estar regularmente inscrita nos órgãos competentes, bem como estar  em situação regular perante os órgãos fiscais federais, estaduais e municipais. </w:t>
      </w:r>
      <w:r>
        <w:rPr>
          <w:rFonts w:hint="default" w:ascii="Times New Roman" w:hAnsi="Times New Roman" w:cs="Times New Roman"/>
          <w:color w:val="auto"/>
          <w:spacing w:val="0"/>
          <w:position w:val="0"/>
          <w:sz w:val="28"/>
          <w:shd w:val="clear" w:fill="auto"/>
          <w:lang w:val="pt-BR"/>
        </w:rPr>
        <w:t>Além de possuir conta jurídica e emitir nota fiscal eletrônica.</w:t>
      </w:r>
    </w:p>
    <w:p w14:paraId="4569F5E8">
      <w:pPr>
        <w:tabs>
          <w:tab w:val="left" w:pos="6825"/>
        </w:tabs>
        <w:jc w:val="both"/>
        <w:rPr>
          <w:rFonts w:hint="default" w:ascii="Times New Roman" w:hAnsi="Times New Roman" w:cs="Times New Roman"/>
          <w:color w:val="auto"/>
          <w:spacing w:val="0"/>
          <w:position w:val="0"/>
          <w:sz w:val="28"/>
          <w:szCs w:val="28"/>
          <w:shd w:val="clear" w:fill="auto"/>
          <w:lang w:val="pt-BR"/>
        </w:rPr>
      </w:pPr>
      <w:r>
        <w:rPr>
          <w:rFonts w:hint="default" w:ascii="Times New Roman" w:hAnsi="Times New Roman" w:cs="Times New Roman"/>
          <w:bCs/>
          <w:sz w:val="28"/>
          <w:szCs w:val="28"/>
        </w:rPr>
        <w:t>Comunicar à contratante, no prazo máximo de 24 (vinte e quatro) horas que antecede a data da entrega, os motivos que impossibilitem o cumprimento do prazo previsto, com a devida comprovação</w:t>
      </w:r>
    </w:p>
    <w:p w14:paraId="55463D51">
      <w:pPr>
        <w:tabs>
          <w:tab w:val="left" w:pos="6825"/>
        </w:tabs>
        <w:jc w:val="both"/>
        <w:rPr>
          <w:rFonts w:ascii="Times New Roman" w:hAnsi="Times New Roman"/>
          <w:b/>
          <w:szCs w:val="28"/>
        </w:rPr>
      </w:pPr>
      <w:r>
        <w:rPr>
          <w:rFonts w:ascii="Times New Roman" w:hAnsi="Times New Roman"/>
          <w:b/>
          <w:szCs w:val="28"/>
        </w:rPr>
        <w:tab/>
      </w:r>
    </w:p>
    <w:p w14:paraId="387F93BB">
      <w:pPr>
        <w:jc w:val="both"/>
        <w:rPr>
          <w:rFonts w:ascii="Times New Roman" w:hAnsi="Times New Roman"/>
          <w:b/>
          <w:szCs w:val="28"/>
        </w:rPr>
      </w:pPr>
      <w:r>
        <w:rPr>
          <w:rFonts w:ascii="Times New Roman" w:hAnsi="Times New Roman"/>
          <w:b/>
          <w:szCs w:val="28"/>
        </w:rPr>
        <w:t>7- Gestão e Fiscalização:</w:t>
      </w:r>
    </w:p>
    <w:p w14:paraId="4CA390AF">
      <w:pPr>
        <w:jc w:val="both"/>
        <w:rPr>
          <w:rFonts w:hint="default" w:ascii="Times New Roman" w:hAnsi="Times New Roman"/>
          <w:b w:val="0"/>
          <w:bCs/>
          <w:szCs w:val="28"/>
          <w:lang w:val="pt-BR"/>
        </w:rPr>
      </w:pPr>
      <w:r>
        <w:rPr>
          <w:rFonts w:hint="default" w:ascii="Times New Roman" w:hAnsi="Times New Roman"/>
          <w:b w:val="0"/>
          <w:bCs/>
          <w:szCs w:val="28"/>
          <w:lang w:val="pt-BR"/>
        </w:rPr>
        <w:t>Gestão:</w:t>
      </w:r>
    </w:p>
    <w:p w14:paraId="5BE7AA07">
      <w:pPr>
        <w:jc w:val="both"/>
        <w:rPr>
          <w:rFonts w:hint="default" w:ascii="Times New Roman" w:hAnsi="Times New Roman"/>
          <w:b w:val="0"/>
          <w:bCs/>
          <w:szCs w:val="28"/>
          <w:lang w:val="pt-BR"/>
        </w:rPr>
      </w:pPr>
      <w:r>
        <w:rPr>
          <w:rFonts w:hint="default" w:ascii="Times New Roman" w:hAnsi="Times New Roman" w:eastAsia="Segoe UI" w:cs="Times New Roman"/>
          <w:b w:val="0"/>
          <w:bCs w:val="0"/>
          <w:i w:val="0"/>
          <w:iCs w:val="0"/>
          <w:color w:val="auto"/>
          <w:spacing w:val="0"/>
          <w:sz w:val="28"/>
          <w:szCs w:val="28"/>
          <w:shd w:val="clear" w:fill="FFFFFF"/>
        </w:rPr>
        <w:t>Márcio Alexandre Camargo</w:t>
      </w:r>
      <w:r>
        <w:rPr>
          <w:rFonts w:hint="default" w:ascii="Times New Roman" w:hAnsi="Times New Roman"/>
          <w:b w:val="0"/>
          <w:bCs/>
          <w:szCs w:val="28"/>
          <w:lang w:val="pt-BR"/>
        </w:rPr>
        <w:t xml:space="preserve"> - Secretário de Saúde</w:t>
      </w:r>
    </w:p>
    <w:p w14:paraId="6C1658C2">
      <w:pPr>
        <w:jc w:val="both"/>
        <w:rPr>
          <w:rFonts w:hint="default" w:ascii="Times New Roman" w:hAnsi="Times New Roman"/>
          <w:b w:val="0"/>
          <w:bCs/>
          <w:szCs w:val="28"/>
          <w:lang w:val="pt-BR"/>
        </w:rPr>
      </w:pPr>
      <w:r>
        <w:rPr>
          <w:rFonts w:hint="default" w:ascii="Times New Roman" w:hAnsi="Times New Roman"/>
          <w:b w:val="0"/>
          <w:bCs/>
          <w:szCs w:val="28"/>
          <w:lang w:val="pt-BR"/>
        </w:rPr>
        <w:t>Fiscalização:</w:t>
      </w:r>
    </w:p>
    <w:p w14:paraId="1191AEA7">
      <w:pPr>
        <w:jc w:val="both"/>
        <w:rPr>
          <w:rFonts w:hint="default" w:ascii="Times New Roman" w:hAnsi="Times New Roman" w:cs="Times New Roman"/>
          <w:bCs/>
          <w:sz w:val="28"/>
          <w:szCs w:val="28"/>
        </w:rPr>
      </w:pPr>
      <w:r>
        <w:rPr>
          <w:rFonts w:hint="default" w:ascii="Times New Roman" w:hAnsi="Times New Roman" w:cs="Times New Roman"/>
          <w:bCs/>
          <w:sz w:val="28"/>
          <w:szCs w:val="28"/>
        </w:rPr>
        <w:t xml:space="preserve">Edson Alexandre Beitum </w:t>
      </w:r>
      <w:r>
        <w:rPr>
          <w:rFonts w:hint="default" w:ascii="Times New Roman" w:hAnsi="Times New Roman" w:cs="Times New Roman"/>
          <w:bCs/>
          <w:sz w:val="28"/>
          <w:szCs w:val="28"/>
          <w:lang w:val="pt-BR"/>
        </w:rPr>
        <w:t xml:space="preserve">- </w:t>
      </w:r>
      <w:r>
        <w:rPr>
          <w:rFonts w:hint="default" w:ascii="Times New Roman" w:hAnsi="Times New Roman" w:cs="Times New Roman"/>
          <w:bCs/>
          <w:sz w:val="28"/>
          <w:szCs w:val="28"/>
        </w:rPr>
        <w:t>Técnico de Segurança do Trabalho</w:t>
      </w:r>
    </w:p>
    <w:p w14:paraId="78D8D2DC">
      <w:pPr>
        <w:jc w:val="both"/>
        <w:rPr>
          <w:rFonts w:hint="default" w:cs="Arial"/>
          <w:bCs/>
          <w:sz w:val="18"/>
          <w:szCs w:val="18"/>
          <w:lang w:val="pt-BR"/>
        </w:rPr>
      </w:pPr>
    </w:p>
    <w:p w14:paraId="60D60A98">
      <w:pPr>
        <w:numPr>
          <w:ilvl w:val="0"/>
          <w:numId w:val="1"/>
        </w:numPr>
        <w:jc w:val="both"/>
        <w:rPr>
          <w:rFonts w:ascii="Times New Roman" w:hAnsi="Times New Roman"/>
          <w:b/>
          <w:szCs w:val="28"/>
        </w:rPr>
      </w:pPr>
      <w:r>
        <w:rPr>
          <w:rFonts w:ascii="Times New Roman" w:hAnsi="Times New Roman"/>
          <w:b/>
          <w:szCs w:val="28"/>
        </w:rPr>
        <w:t>Outras informações:</w:t>
      </w:r>
    </w:p>
    <w:p w14:paraId="46EBAF2D">
      <w:pPr>
        <w:numPr>
          <w:ilvl w:val="0"/>
          <w:numId w:val="0"/>
        </w:numPr>
        <w:spacing w:after="0" w:line="240" w:lineRule="auto"/>
        <w:jc w:val="both"/>
        <w:rPr>
          <w:rFonts w:ascii="Times New Roman" w:hAnsi="Times New Roman"/>
          <w:b w:val="0"/>
          <w:bCs/>
          <w:szCs w:val="28"/>
        </w:rPr>
      </w:pPr>
      <w:r>
        <w:rPr>
          <w:rFonts w:hint="default" w:ascii="Times New Roman" w:hAnsi="Times New Roman"/>
          <w:b w:val="0"/>
          <w:bCs/>
          <w:szCs w:val="28"/>
        </w:rPr>
        <w:t>O pagamento será realizado no prazo de até 30 (trinta) dias contados a partir do recebimento  do objeto, através de ordem bancária, para crédito em banco, agência e conta corrente jurídica indicado pela CONTRATADA.</w:t>
      </w:r>
    </w:p>
    <w:p w14:paraId="34BBC1DA">
      <w:pPr>
        <w:jc w:val="both"/>
        <w:rPr>
          <w:rFonts w:hint="default" w:ascii="Times New Roman" w:hAnsi="Times New Roman" w:eastAsia="SimSun" w:cs="Times New Roman"/>
          <w:color w:val="auto"/>
          <w:sz w:val="28"/>
          <w:szCs w:val="28"/>
          <w:u w:val="none"/>
        </w:rPr>
      </w:pPr>
      <w:r>
        <w:rPr>
          <w:rFonts w:hint="default" w:ascii="Times New Roman" w:hAnsi="Times New Roman" w:cs="Times New Roman"/>
          <w:color w:val="000000" w:themeColor="text1"/>
          <w:sz w:val="28"/>
          <w:szCs w:val="28"/>
          <w:lang w:val="pt-BR"/>
          <w14:textFill>
            <w14:solidFill>
              <w14:schemeClr w14:val="tx1"/>
            </w14:solidFill>
          </w14:textFill>
        </w:rPr>
        <w:t>Email:</w:t>
      </w:r>
      <w:r>
        <w:rPr>
          <w:rFonts w:hint="default" w:ascii="Times New Roman" w:hAnsi="Times New Roman" w:cs="Times New Roman"/>
          <w:color w:val="auto"/>
          <w:sz w:val="28"/>
          <w:szCs w:val="28"/>
          <w:u w:val="none"/>
          <w:lang w:val="pt-BR"/>
        </w:rPr>
        <w:t xml:space="preserve"> </w:t>
      </w:r>
      <w:r>
        <w:rPr>
          <w:rFonts w:hint="default" w:ascii="Times New Roman" w:hAnsi="Times New Roman" w:eastAsia="SimSun" w:cs="Times New Roman"/>
          <w:sz w:val="28"/>
          <w:szCs w:val="28"/>
        </w:rPr>
        <w:t>vigilanciasanitaria@quata.sp.gov.br</w:t>
      </w:r>
    </w:p>
    <w:p w14:paraId="1ED0C5E6">
      <w:pPr>
        <w:jc w:val="both"/>
        <w:rPr>
          <w:rFonts w:hint="default" w:ascii="Times New Roman" w:hAnsi="Times New Roman" w:eastAsia="SimSun" w:cs="Times New Roman"/>
          <w:color w:val="auto"/>
          <w:sz w:val="28"/>
          <w:szCs w:val="28"/>
          <w:u w:val="none"/>
        </w:rPr>
      </w:pPr>
      <w:r>
        <w:rPr>
          <w:rFonts w:hint="default" w:ascii="Times New Roman" w:hAnsi="Times New Roman" w:cs="Times New Roman"/>
          <w:color w:val="auto"/>
          <w:sz w:val="28"/>
          <w:szCs w:val="28"/>
          <w:u w:val="none"/>
          <w:lang w:val="pt-BR"/>
        </w:rPr>
        <w:t xml:space="preserve">Contato: </w:t>
      </w:r>
      <w:r>
        <w:rPr>
          <w:rFonts w:hint="default" w:ascii="Times New Roman" w:hAnsi="Times New Roman" w:eastAsia="SimSun" w:cs="Times New Roman"/>
          <w:color w:val="auto"/>
          <w:sz w:val="28"/>
          <w:szCs w:val="28"/>
          <w:u w:val="none"/>
        </w:rPr>
        <w:t xml:space="preserve">(18) </w:t>
      </w:r>
      <w:r>
        <w:rPr>
          <w:rFonts w:hint="default" w:ascii="Times New Roman" w:hAnsi="Times New Roman" w:eastAsia="SimSun" w:cs="Times New Roman"/>
          <w:sz w:val="28"/>
          <w:szCs w:val="28"/>
        </w:rPr>
        <w:t>33669609</w:t>
      </w:r>
    </w:p>
    <w:p w14:paraId="5EE87BA7">
      <w:pPr>
        <w:wordWrap w:val="0"/>
        <w:jc w:val="right"/>
        <w:rPr>
          <w:rFonts w:hint="default" w:ascii="Times New Roman" w:hAnsi="Times New Roman"/>
          <w:i w:val="0"/>
          <w:iCs/>
          <w:szCs w:val="28"/>
          <w:u w:val="single"/>
          <w:lang w:val="pt-BR"/>
        </w:rPr>
      </w:pPr>
      <w:r>
        <w:rPr>
          <w:rFonts w:ascii="Times New Roman" w:hAnsi="Times New Roman"/>
          <w:szCs w:val="28"/>
        </w:rPr>
        <w:t xml:space="preserve">Quatá/SP, </w:t>
      </w:r>
      <w:r>
        <w:rPr>
          <w:rFonts w:hint="default" w:ascii="Times New Roman" w:hAnsi="Times New Roman"/>
          <w:szCs w:val="28"/>
          <w:lang w:val="pt-BR"/>
        </w:rPr>
        <w:t>21 de julho de 2025.</w:t>
      </w:r>
    </w:p>
    <w:p w14:paraId="5C1DE9A3">
      <w:pPr>
        <w:jc w:val="center"/>
        <w:rPr>
          <w:rFonts w:hint="default" w:ascii="Times New Roman" w:hAnsi="Times New Roman"/>
          <w:sz w:val="24"/>
          <w:szCs w:val="24"/>
          <w:lang w:val="pt-BR"/>
        </w:rPr>
      </w:pPr>
    </w:p>
    <w:p w14:paraId="366F663C">
      <w:pPr>
        <w:jc w:val="center"/>
        <w:rPr>
          <w:rFonts w:hint="default" w:ascii="Times New Roman" w:hAnsi="Times New Roman"/>
          <w:sz w:val="24"/>
          <w:szCs w:val="24"/>
          <w:lang w:val="pt-BR"/>
        </w:rPr>
      </w:pPr>
    </w:p>
    <w:p w14:paraId="11A68B5D">
      <w:pPr>
        <w:jc w:val="center"/>
        <w:rPr>
          <w:rFonts w:hint="default" w:ascii="Times New Roman" w:hAnsi="Times New Roman"/>
          <w:sz w:val="24"/>
          <w:szCs w:val="24"/>
          <w:lang w:val="pt-BR"/>
        </w:rPr>
      </w:pPr>
    </w:p>
    <w:p w14:paraId="049B6A89">
      <w:pPr>
        <w:jc w:val="center"/>
        <w:rPr>
          <w:rFonts w:hint="default" w:ascii="Times New Roman" w:hAnsi="Times New Roman"/>
          <w:sz w:val="24"/>
          <w:szCs w:val="24"/>
          <w:lang w:val="pt-BR"/>
        </w:rPr>
      </w:pPr>
      <w:r>
        <w:rPr>
          <w:rFonts w:hint="default" w:ascii="Times New Roman" w:hAnsi="Times New Roman"/>
          <w:sz w:val="24"/>
          <w:szCs w:val="24"/>
          <w:lang w:val="pt-BR"/>
        </w:rPr>
        <w:t>___________</w:t>
      </w:r>
      <w:bookmarkStart w:id="0" w:name="_GoBack"/>
      <w:bookmarkEnd w:id="0"/>
      <w:r>
        <w:rPr>
          <w:rFonts w:hint="default" w:ascii="Times New Roman" w:hAnsi="Times New Roman"/>
          <w:sz w:val="24"/>
          <w:szCs w:val="24"/>
          <w:lang w:val="pt-BR"/>
        </w:rPr>
        <w:t>__________________________</w:t>
      </w:r>
    </w:p>
    <w:p w14:paraId="19503DA7">
      <w:pPr>
        <w:jc w:val="center"/>
        <w:rPr>
          <w:rFonts w:hint="default" w:ascii="Times New Roman" w:hAnsi="Times New Roman" w:eastAsia="Segoe UI" w:cs="Times New Roman"/>
          <w:b w:val="0"/>
          <w:bCs w:val="0"/>
          <w:i w:val="0"/>
          <w:iCs w:val="0"/>
          <w:color w:val="auto"/>
          <w:spacing w:val="0"/>
          <w:sz w:val="24"/>
          <w:szCs w:val="24"/>
          <w:shd w:val="clear" w:fill="FFFFFF"/>
        </w:rPr>
      </w:pPr>
      <w:r>
        <w:rPr>
          <w:rFonts w:hint="default" w:ascii="Times New Roman" w:hAnsi="Times New Roman" w:eastAsia="Segoe UI" w:cs="Times New Roman"/>
          <w:b w:val="0"/>
          <w:bCs w:val="0"/>
          <w:i w:val="0"/>
          <w:iCs w:val="0"/>
          <w:color w:val="auto"/>
          <w:spacing w:val="0"/>
          <w:sz w:val="24"/>
          <w:szCs w:val="24"/>
          <w:shd w:val="clear" w:fill="FFFFFF"/>
        </w:rPr>
        <w:t>Márcio Alexandre Camargo</w:t>
      </w:r>
    </w:p>
    <w:p w14:paraId="706CB73C">
      <w:pPr>
        <w:jc w:val="center"/>
        <w:rPr>
          <w:rFonts w:hint="default" w:ascii="Times New Roman" w:hAnsi="Times New Roman"/>
          <w:color w:val="FF0000"/>
          <w:sz w:val="24"/>
          <w:szCs w:val="24"/>
          <w:lang w:val="pt-BR"/>
        </w:rPr>
      </w:pPr>
      <w:r>
        <w:rPr>
          <w:rFonts w:ascii="Times New Roman" w:hAnsi="Times New Roman"/>
          <w:color w:val="auto"/>
          <w:sz w:val="24"/>
          <w:szCs w:val="24"/>
        </w:rPr>
        <w:t xml:space="preserve">Secretário Municipal de </w:t>
      </w:r>
      <w:r>
        <w:rPr>
          <w:rFonts w:hint="default" w:ascii="Times New Roman" w:hAnsi="Times New Roman"/>
          <w:color w:val="auto"/>
          <w:sz w:val="24"/>
          <w:szCs w:val="24"/>
          <w:lang w:val="pt-BR"/>
        </w:rPr>
        <w:t>Saúde</w:t>
      </w:r>
    </w:p>
    <w:p w14:paraId="70123D35">
      <w:pPr>
        <w:jc w:val="both"/>
        <w:rPr>
          <w:rFonts w:hint="default" w:ascii="Times New Roman" w:hAnsi="Times New Roman"/>
          <w:sz w:val="24"/>
          <w:szCs w:val="24"/>
          <w:lang w:val="pt-BR"/>
        </w:rPr>
      </w:pPr>
      <w:r>
        <w:rPr>
          <w:rFonts w:hint="default" w:ascii="Times New Roman" w:hAnsi="Times New Roman"/>
          <w:sz w:val="24"/>
          <w:szCs w:val="24"/>
          <w:lang w:val="pt-BR"/>
        </w:rPr>
        <w:t xml:space="preserve">                                                              </w:t>
      </w:r>
    </w:p>
    <w:p w14:paraId="1B8956D6">
      <w:pPr>
        <w:jc w:val="both"/>
        <w:rPr>
          <w:rFonts w:hint="default" w:ascii="Times New Roman" w:hAnsi="Times New Roman"/>
          <w:sz w:val="24"/>
          <w:szCs w:val="24"/>
          <w:lang w:val="pt-BR"/>
        </w:rPr>
      </w:pPr>
    </w:p>
    <w:p w14:paraId="016B78A5">
      <w:pPr>
        <w:jc w:val="both"/>
        <w:rPr>
          <w:rFonts w:hint="default" w:ascii="Times New Roman" w:hAnsi="Times New Roman"/>
          <w:sz w:val="24"/>
          <w:szCs w:val="24"/>
          <w:lang w:val="pt-BR"/>
        </w:rPr>
      </w:pPr>
    </w:p>
    <w:p w14:paraId="7B75B4A8">
      <w:pPr>
        <w:ind w:left="0" w:leftChars="0" w:firstLine="0" w:firstLineChars="0"/>
        <w:jc w:val="center"/>
        <w:rPr>
          <w:rFonts w:ascii="Times New Roman" w:hAnsi="Times New Roman"/>
          <w:sz w:val="24"/>
          <w:szCs w:val="24"/>
        </w:rPr>
      </w:pPr>
      <w:r>
        <w:rPr>
          <w:rFonts w:hint="default" w:ascii="Times New Roman" w:hAnsi="Times New Roman"/>
          <w:sz w:val="24"/>
          <w:szCs w:val="24"/>
          <w:lang w:val="pt-BR"/>
        </w:rPr>
        <w:t>_______________________________</w:t>
      </w:r>
      <w:r>
        <w:rPr>
          <w:rFonts w:ascii="Times New Roman" w:hAnsi="Times New Roman"/>
          <w:sz w:val="24"/>
          <w:szCs w:val="24"/>
        </w:rPr>
        <w:t>______</w:t>
      </w:r>
    </w:p>
    <w:p w14:paraId="1A361E34">
      <w:pPr>
        <w:jc w:val="center"/>
        <w:rPr>
          <w:rFonts w:hint="default" w:ascii="Times New Roman" w:hAnsi="Times New Roman" w:cs="Times New Roman"/>
          <w:bCs/>
          <w:sz w:val="24"/>
          <w:szCs w:val="24"/>
        </w:rPr>
      </w:pPr>
      <w:r>
        <w:rPr>
          <w:rFonts w:hint="default" w:ascii="Times New Roman" w:hAnsi="Times New Roman" w:cs="Times New Roman"/>
          <w:bCs/>
          <w:sz w:val="24"/>
          <w:szCs w:val="24"/>
        </w:rPr>
        <w:t>Edson Alexandre Beitum</w:t>
      </w:r>
    </w:p>
    <w:p w14:paraId="4C536A4C">
      <w:pPr>
        <w:jc w:val="center"/>
        <w:rPr>
          <w:rFonts w:hint="default" w:ascii="Times New Roman" w:hAnsi="Times New Roman" w:cs="Times New Roman"/>
          <w:sz w:val="24"/>
          <w:szCs w:val="24"/>
        </w:rPr>
      </w:pPr>
      <w:r>
        <w:rPr>
          <w:rFonts w:hint="default" w:ascii="Times New Roman" w:hAnsi="Times New Roman" w:cs="Times New Roman"/>
          <w:bCs/>
          <w:sz w:val="24"/>
          <w:szCs w:val="24"/>
          <w:lang w:val="pt-BR"/>
        </w:rPr>
        <w:t xml:space="preserve"> </w:t>
      </w:r>
      <w:r>
        <w:rPr>
          <w:rFonts w:hint="default" w:ascii="Times New Roman" w:hAnsi="Times New Roman" w:cs="Times New Roman"/>
          <w:bCs/>
          <w:sz w:val="24"/>
          <w:szCs w:val="24"/>
        </w:rPr>
        <w:t>Técnico de Segurança do Trabalho</w:t>
      </w:r>
    </w:p>
    <w:p w14:paraId="28CE0397">
      <w:pPr>
        <w:jc w:val="center"/>
        <w:rPr>
          <w:rFonts w:ascii="Times New Roman" w:hAnsi="Times New Roman"/>
          <w:sz w:val="24"/>
          <w:szCs w:val="24"/>
        </w:rPr>
      </w:pPr>
    </w:p>
    <w:p w14:paraId="7AA97CD1">
      <w:pPr>
        <w:jc w:val="center"/>
        <w:rPr>
          <w:rFonts w:ascii="Times New Roman" w:hAnsi="Times New Roman"/>
          <w:sz w:val="24"/>
          <w:szCs w:val="24"/>
        </w:rPr>
      </w:pPr>
    </w:p>
    <w:p w14:paraId="33B61035">
      <w:pPr>
        <w:jc w:val="center"/>
        <w:rPr>
          <w:rFonts w:ascii="Times New Roman" w:hAnsi="Times New Roman"/>
          <w:sz w:val="24"/>
          <w:szCs w:val="24"/>
        </w:rPr>
      </w:pPr>
    </w:p>
    <w:p w14:paraId="56AB70E2">
      <w:pPr>
        <w:ind w:left="0" w:leftChars="0" w:firstLine="0" w:firstLineChars="0"/>
        <w:jc w:val="center"/>
        <w:rPr>
          <w:rFonts w:ascii="Times New Roman" w:hAnsi="Times New Roman"/>
          <w:sz w:val="24"/>
          <w:szCs w:val="24"/>
        </w:rPr>
      </w:pPr>
      <w:r>
        <w:rPr>
          <w:rFonts w:hint="default" w:ascii="Times New Roman" w:hAnsi="Times New Roman"/>
          <w:sz w:val="24"/>
          <w:szCs w:val="24"/>
          <w:lang w:val="pt-BR"/>
        </w:rPr>
        <w:t>_______________________________</w:t>
      </w:r>
      <w:r>
        <w:rPr>
          <w:rFonts w:ascii="Times New Roman" w:hAnsi="Times New Roman"/>
          <w:sz w:val="24"/>
          <w:szCs w:val="24"/>
        </w:rPr>
        <w:t>______</w:t>
      </w:r>
    </w:p>
    <w:p w14:paraId="0E2E5031">
      <w:pPr>
        <w:jc w:val="center"/>
        <w:rPr>
          <w:rFonts w:hint="default" w:ascii="Times New Roman" w:hAnsi="Times New Roman" w:eastAsia="SimSun" w:cs="Times New Roman"/>
          <w:sz w:val="24"/>
          <w:szCs w:val="24"/>
          <w:lang w:val="pt-BR"/>
        </w:rPr>
      </w:pPr>
      <w:r>
        <w:rPr>
          <w:rFonts w:hint="default" w:ascii="Times New Roman" w:hAnsi="Times New Roman" w:eastAsia="SimSun" w:cs="Times New Roman"/>
          <w:sz w:val="24"/>
          <w:szCs w:val="24"/>
          <w:lang w:val="pt-BR"/>
        </w:rPr>
        <w:t>Alex Favoretto Terçarioli</w:t>
      </w:r>
    </w:p>
    <w:p w14:paraId="5698D2EE">
      <w:pPr>
        <w:jc w:val="center"/>
        <w:rPr>
          <w:rFonts w:ascii="Times New Roman" w:hAnsi="Times New Roman"/>
          <w:sz w:val="24"/>
          <w:szCs w:val="24"/>
        </w:rPr>
      </w:pPr>
      <w:r>
        <w:rPr>
          <w:rFonts w:hint="default" w:ascii="Times New Roman" w:hAnsi="Times New Roman" w:eastAsia="SimSun" w:cs="Times New Roman"/>
          <w:sz w:val="24"/>
          <w:szCs w:val="24"/>
          <w:lang w:val="pt-BR"/>
        </w:rPr>
        <w:t>Escriturário - Elaborador do TR</w:t>
      </w:r>
    </w:p>
    <w:sectPr>
      <w:headerReference r:id="rId5" w:type="default"/>
      <w:footerReference r:id="rId6" w:type="default"/>
      <w:footerReference r:id="rId7" w:type="even"/>
      <w:pgSz w:w="11907" w:h="16840"/>
      <w:pgMar w:top="1701" w:right="1134" w:bottom="1134" w:left="1701" w:header="567"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Univers">
    <w:panose1 w:val="020B0603020202030204"/>
    <w:charset w:val="00"/>
    <w:family w:val="swiss"/>
    <w:pitch w:val="default"/>
    <w:sig w:usb0="00000287" w:usb1="00000000" w:usb2="00000000" w:usb3="00000000" w:csb0="0000009F" w:csb1="00000000"/>
  </w:font>
  <w:font w:name="CIDFont+F4">
    <w:altName w:val="Cambria"/>
    <w:panose1 w:val="00000000000000000000"/>
    <w:charset w:val="00"/>
    <w:family w:val="roman"/>
    <w:pitch w:val="default"/>
    <w:sig w:usb0="00000000" w:usb1="00000000" w:usb2="00000000" w:usb3="00000000" w:csb0="00000000" w:csb1="00000000"/>
  </w:font>
  <w:font w:name="Helvetica-Bold">
    <w:altName w:val="Arial"/>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Bell MT">
    <w:altName w:val="PMingLiU-ExtB"/>
    <w:panose1 w:val="02020503060305020303"/>
    <w:charset w:val="00"/>
    <w:family w:val="roman"/>
    <w:pitch w:val="default"/>
    <w:sig w:usb0="00000000"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7CFBA">
    <w:pPr>
      <w:pStyle w:val="1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8</w:t>
    </w:r>
    <w:r>
      <w:rPr>
        <w:rStyle w:val="9"/>
      </w:rPr>
      <w:fldChar w:fldCharType="end"/>
    </w:r>
  </w:p>
  <w:p w14:paraId="40DBF515">
    <w:pPr>
      <w:pStyle w:val="14"/>
      <w:ind w:right="360"/>
      <w:jc w:val="center"/>
      <w:rPr>
        <w:rFonts w:ascii="Verdana" w:hAnsi="Verdana"/>
        <w:b/>
        <w:bCs/>
        <w:sz w:val="22"/>
      </w:rPr>
    </w:pPr>
    <w:r>
      <w:rPr>
        <w:rFonts w:ascii="Verdana" w:hAnsi="Verdana"/>
        <w:b/>
        <w:bCs/>
        <w:sz w:val="20"/>
      </w:rPr>
      <mc:AlternateContent>
        <mc:Choice Requires="wps">
          <w:drawing>
            <wp:anchor distT="0" distB="0" distL="114300" distR="114300" simplePos="0" relativeHeight="251659264" behindDoc="0" locked="0" layoutInCell="1" allowOverlap="1">
              <wp:simplePos x="0" y="0"/>
              <wp:positionH relativeFrom="column">
                <wp:posOffset>-42545</wp:posOffset>
              </wp:positionH>
              <wp:positionV relativeFrom="paragraph">
                <wp:posOffset>45720</wp:posOffset>
              </wp:positionV>
              <wp:extent cx="6286500" cy="800100"/>
              <wp:effectExtent l="0" t="0" r="4445" b="1905"/>
              <wp:wrapNone/>
              <wp:docPr id="1" name="Caixa de Texto 1"/>
              <wp:cNvGraphicFramePr/>
              <a:graphic xmlns:a="http://schemas.openxmlformats.org/drawingml/2006/main">
                <a:graphicData uri="http://schemas.microsoft.com/office/word/2010/wordprocessingShape">
                  <wps:wsp>
                    <wps:cNvSpPr txBox="1">
                      <a:spLocks noChangeArrowheads="1"/>
                    </wps:cNvSpPr>
                    <wps:spPr bwMode="auto">
                      <a:xfrm>
                        <a:off x="0" y="0"/>
                        <a:ext cx="6286500" cy="800100"/>
                      </a:xfrm>
                      <a:prstGeom prst="rect">
                        <a:avLst/>
                      </a:prstGeom>
                      <a:noFill/>
                      <a:ln>
                        <a:noFill/>
                      </a:ln>
                    </wps:spPr>
                    <wps:txbx>
                      <w:txbxContent>
                        <w:p w14:paraId="234CA30C">
                          <w:pPr>
                            <w:jc w:val="center"/>
                            <w:rPr>
                              <w:rFonts w:ascii="Verdana" w:hAnsi="Verdana"/>
                              <w:b/>
                              <w:bCs/>
                              <w:sz w:val="2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35pt;margin-top:3.6pt;height:63pt;width:495pt;z-index:251659264;mso-width-relative:page;mso-height-relative:page;" filled="f" stroked="f" coordsize="21600,21600" o:gfxdata="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nn/M7XAAAACAEAAA8AAAAAAAAAAQAgAAAAIgAA&#10;AGRycy9kb3ducmV2LnhtbFBLAQIUABQAAAAIAIdO4kCuKXSmCQIAABoEAAAOAAAAAAAAAAEAIAAA&#10;ACYBAABkcnMvZTJvRG9jLnhtbFBLBQYAAAAABgAGAFkBAAChBQAAAAA=&#10;">
              <v:fill on="f" focussize="0,0"/>
              <v:stroke on="f"/>
              <v:imagedata o:title=""/>
              <o:lock v:ext="edit" aspectratio="f"/>
              <v:textbox>
                <w:txbxContent>
                  <w:p w14:paraId="234CA30C">
                    <w:pPr>
                      <w:jc w:val="center"/>
                      <w:rPr>
                        <w:rFonts w:ascii="Verdana" w:hAnsi="Verdana"/>
                        <w:b/>
                        <w:bCs/>
                        <w:sz w:val="22"/>
                      </w:rPr>
                    </w:pPr>
                  </w:p>
                </w:txbxContent>
              </v:textbox>
            </v:shape>
          </w:pict>
        </mc:Fallback>
      </mc:AlternateContent>
    </w:r>
    <w:r>
      <w:rPr>
        <w:rFonts w:ascii="Verdana" w:hAnsi="Verdana"/>
        <w:b/>
        <w:bCs/>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61C94">
    <w:pPr>
      <w:pStyle w:val="14"/>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14:paraId="5798676D">
    <w:pPr>
      <w:pStyle w:val="1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3142C">
    <w:pPr>
      <w:tabs>
        <w:tab w:val="center" w:pos="4252"/>
        <w:tab w:val="right" w:pos="8504"/>
      </w:tabs>
      <w:jc w:val="center"/>
      <w:rPr>
        <w:rFonts w:ascii="Bell MT" w:hAnsi="Bell MT"/>
        <w:b/>
        <w:sz w:val="40"/>
        <w:szCs w:val="40"/>
      </w:rPr>
    </w:pPr>
    <w:r>
      <w:pict>
        <v:shape id="_x0000_s4097" o:spid="_x0000_s4097" o:spt="75" type="#_x0000_t75" style="position:absolute;left:0pt;margin-left:-17.5pt;margin-top:-22.75pt;height:75.45pt;width:75pt;mso-wrap-distance-left:9pt;mso-wrap-distance-right:9pt;z-index:-251656192;mso-width-relative:page;mso-height-relative:page;" o:ole="t" filled="f" o:preferrelative="t" stroked="f" coordsize="21600,21600" wrapcoords="21592 -2 0 0 0 21600 21592 21602 8 21602 21600 21600 21600 0 8 -2 21592 -2">
          <v:path/>
          <v:fill on="f" focussize="0,0"/>
          <v:stroke on="f"/>
          <v:imagedata r:id="rId2" cropleft="6942f" croptop="2764f" cropright="5197f" cropbottom="3196f" o:title=""/>
          <o:lock v:ext="edit" aspectratio="t"/>
          <w10:wrap type="through"/>
        </v:shape>
        <o:OLEObject Type="Embed" ProgID="PBrush" ShapeID="_x0000_s4097" DrawAspect="Content" ObjectID="_1468075725" r:id="rId1">
          <o:LockedField>false</o:LockedField>
        </o:OLEObject>
      </w:pict>
    </w:r>
    <w:r>
      <w:rPr>
        <w:rFonts w:hint="default" w:ascii="Bell MT" w:hAnsi="Bell MT"/>
        <w:b/>
        <w:sz w:val="40"/>
        <w:szCs w:val="40"/>
        <w:lang w:val="pt-BR"/>
      </w:rPr>
      <w:t>PREF</w:t>
    </w:r>
    <w:r>
      <w:rPr>
        <w:rFonts w:ascii="Bell MT" w:hAnsi="Bell MT"/>
        <w:b/>
        <w:sz w:val="40"/>
        <w:szCs w:val="40"/>
      </w:rPr>
      <w:t>EITURA MUNICIPAL DE QUATÁ</w:t>
    </w:r>
  </w:p>
  <w:p w14:paraId="39407C66">
    <w:pPr>
      <w:pStyle w:val="13"/>
      <w:jc w:val="center"/>
      <w:rPr>
        <w:rFonts w:hint="default"/>
        <w:lang w:val="pt-BR"/>
      </w:rPr>
    </w:pPr>
    <w:r>
      <w:rPr>
        <w:rFonts w:ascii="Bell MT" w:hAnsi="Bell MT"/>
        <w:b/>
        <w:bCs/>
        <w:sz w:val="32"/>
        <w:szCs w:val="32"/>
      </w:rPr>
      <w:t>Secretaria</w:t>
    </w:r>
    <w:r>
      <w:rPr>
        <w:rFonts w:hint="default" w:ascii="Bell MT" w:hAnsi="Bell MT"/>
        <w:b/>
        <w:bCs/>
        <w:sz w:val="32"/>
        <w:szCs w:val="32"/>
        <w:lang w:val="pt-BR"/>
      </w:rPr>
      <w:t xml:space="preserve"> da Saúde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48C0C"/>
    <w:multiLevelType w:val="singleLevel"/>
    <w:tmpl w:val="89748C0C"/>
    <w:lvl w:ilvl="0" w:tentative="0">
      <w:start w:val="8"/>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DCD"/>
    <w:rsid w:val="000061F5"/>
    <w:rsid w:val="0000792C"/>
    <w:rsid w:val="00007DF2"/>
    <w:rsid w:val="000264B7"/>
    <w:rsid w:val="000510BB"/>
    <w:rsid w:val="00051272"/>
    <w:rsid w:val="000741B0"/>
    <w:rsid w:val="000809AB"/>
    <w:rsid w:val="000935DA"/>
    <w:rsid w:val="000C6315"/>
    <w:rsid w:val="000C6C7B"/>
    <w:rsid w:val="000D2081"/>
    <w:rsid w:val="000D4FD0"/>
    <w:rsid w:val="000E6146"/>
    <w:rsid w:val="00121A94"/>
    <w:rsid w:val="001445F8"/>
    <w:rsid w:val="001475B7"/>
    <w:rsid w:val="001B27F2"/>
    <w:rsid w:val="001D7293"/>
    <w:rsid w:val="001F2201"/>
    <w:rsid w:val="00203616"/>
    <w:rsid w:val="00290B7A"/>
    <w:rsid w:val="002E2C80"/>
    <w:rsid w:val="003245B2"/>
    <w:rsid w:val="00324CE1"/>
    <w:rsid w:val="0032617E"/>
    <w:rsid w:val="00377C92"/>
    <w:rsid w:val="00385A15"/>
    <w:rsid w:val="00385E71"/>
    <w:rsid w:val="00386516"/>
    <w:rsid w:val="003B59E1"/>
    <w:rsid w:val="003E69E2"/>
    <w:rsid w:val="003F2EA8"/>
    <w:rsid w:val="00417683"/>
    <w:rsid w:val="00442979"/>
    <w:rsid w:val="00447B12"/>
    <w:rsid w:val="00487FEC"/>
    <w:rsid w:val="004A3DCD"/>
    <w:rsid w:val="004B7A1C"/>
    <w:rsid w:val="004E1150"/>
    <w:rsid w:val="005626EB"/>
    <w:rsid w:val="00586AE6"/>
    <w:rsid w:val="005A595E"/>
    <w:rsid w:val="005C35BC"/>
    <w:rsid w:val="005E78F9"/>
    <w:rsid w:val="00613CF7"/>
    <w:rsid w:val="006160A2"/>
    <w:rsid w:val="00641D83"/>
    <w:rsid w:val="00647537"/>
    <w:rsid w:val="00653C32"/>
    <w:rsid w:val="0066201A"/>
    <w:rsid w:val="006909AD"/>
    <w:rsid w:val="0070129F"/>
    <w:rsid w:val="00725CF1"/>
    <w:rsid w:val="00747171"/>
    <w:rsid w:val="007A1E16"/>
    <w:rsid w:val="007A642B"/>
    <w:rsid w:val="007C14BE"/>
    <w:rsid w:val="007C3096"/>
    <w:rsid w:val="007C44C1"/>
    <w:rsid w:val="007E34AD"/>
    <w:rsid w:val="007E44E7"/>
    <w:rsid w:val="007F1347"/>
    <w:rsid w:val="00871757"/>
    <w:rsid w:val="008731BC"/>
    <w:rsid w:val="00892680"/>
    <w:rsid w:val="008A28F5"/>
    <w:rsid w:val="008B1402"/>
    <w:rsid w:val="008B46AB"/>
    <w:rsid w:val="008C0541"/>
    <w:rsid w:val="008E6CE5"/>
    <w:rsid w:val="009104B0"/>
    <w:rsid w:val="00914DB3"/>
    <w:rsid w:val="00934B9A"/>
    <w:rsid w:val="0096380C"/>
    <w:rsid w:val="00963DD9"/>
    <w:rsid w:val="00974040"/>
    <w:rsid w:val="00977CFE"/>
    <w:rsid w:val="009D08E2"/>
    <w:rsid w:val="009E3CEE"/>
    <w:rsid w:val="009F44B8"/>
    <w:rsid w:val="009F67F0"/>
    <w:rsid w:val="00A170B7"/>
    <w:rsid w:val="00A86FC4"/>
    <w:rsid w:val="00A93770"/>
    <w:rsid w:val="00AA55E8"/>
    <w:rsid w:val="00AB2013"/>
    <w:rsid w:val="00AE3636"/>
    <w:rsid w:val="00B012C8"/>
    <w:rsid w:val="00B069C4"/>
    <w:rsid w:val="00B0764D"/>
    <w:rsid w:val="00B37EC1"/>
    <w:rsid w:val="00B553EE"/>
    <w:rsid w:val="00B55419"/>
    <w:rsid w:val="00B67016"/>
    <w:rsid w:val="00B9373F"/>
    <w:rsid w:val="00BA5C8C"/>
    <w:rsid w:val="00BC445B"/>
    <w:rsid w:val="00C039F0"/>
    <w:rsid w:val="00C52822"/>
    <w:rsid w:val="00C55C4A"/>
    <w:rsid w:val="00C647A4"/>
    <w:rsid w:val="00C73739"/>
    <w:rsid w:val="00C86D06"/>
    <w:rsid w:val="00CA463D"/>
    <w:rsid w:val="00CB658F"/>
    <w:rsid w:val="00CC2383"/>
    <w:rsid w:val="00CC6837"/>
    <w:rsid w:val="00CD6BB8"/>
    <w:rsid w:val="00D01BA9"/>
    <w:rsid w:val="00D30B1C"/>
    <w:rsid w:val="00D56E7D"/>
    <w:rsid w:val="00D91CA0"/>
    <w:rsid w:val="00DD2C43"/>
    <w:rsid w:val="00DD383D"/>
    <w:rsid w:val="00DE7E57"/>
    <w:rsid w:val="00E53D02"/>
    <w:rsid w:val="00E824BC"/>
    <w:rsid w:val="00E84262"/>
    <w:rsid w:val="00E970F1"/>
    <w:rsid w:val="00EA2AF1"/>
    <w:rsid w:val="00ED0892"/>
    <w:rsid w:val="00F0526C"/>
    <w:rsid w:val="00F42988"/>
    <w:rsid w:val="00FB2430"/>
    <w:rsid w:val="00FB462D"/>
    <w:rsid w:val="00FB7038"/>
    <w:rsid w:val="00FD2343"/>
    <w:rsid w:val="00FE29C1"/>
    <w:rsid w:val="01722D24"/>
    <w:rsid w:val="017A42D2"/>
    <w:rsid w:val="01CE3E86"/>
    <w:rsid w:val="020A1474"/>
    <w:rsid w:val="063337E9"/>
    <w:rsid w:val="0E2A26F7"/>
    <w:rsid w:val="0FCB7AC9"/>
    <w:rsid w:val="1106641F"/>
    <w:rsid w:val="16A44534"/>
    <w:rsid w:val="1988776F"/>
    <w:rsid w:val="1CED293A"/>
    <w:rsid w:val="25214E18"/>
    <w:rsid w:val="26FF7CF2"/>
    <w:rsid w:val="2DE61134"/>
    <w:rsid w:val="33C06AE4"/>
    <w:rsid w:val="33FE5ED9"/>
    <w:rsid w:val="3FDE5E10"/>
    <w:rsid w:val="40EB1A61"/>
    <w:rsid w:val="43435EAC"/>
    <w:rsid w:val="49466FBD"/>
    <w:rsid w:val="49A543E6"/>
    <w:rsid w:val="4AA1747F"/>
    <w:rsid w:val="4CB76E6A"/>
    <w:rsid w:val="5B31191A"/>
    <w:rsid w:val="5C765593"/>
    <w:rsid w:val="5C85005B"/>
    <w:rsid w:val="60DE061A"/>
    <w:rsid w:val="62B15200"/>
    <w:rsid w:val="644544AD"/>
    <w:rsid w:val="649D73DD"/>
    <w:rsid w:val="665226E1"/>
    <w:rsid w:val="67192686"/>
    <w:rsid w:val="69967687"/>
    <w:rsid w:val="6B9A1E41"/>
    <w:rsid w:val="7454565F"/>
    <w:rsid w:val="75065DEB"/>
    <w:rsid w:val="78EE763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Arial" w:hAnsi="Arial" w:eastAsia="Times New Roman" w:cs="Times New Roman"/>
      <w:sz w:val="28"/>
      <w:szCs w:val="24"/>
      <w:lang w:val="pt-BR" w:eastAsia="pt-BR" w:bidi="ar-SA"/>
    </w:rPr>
  </w:style>
  <w:style w:type="paragraph" w:styleId="2">
    <w:name w:val="heading 2"/>
    <w:next w:val="1"/>
    <w:semiHidden/>
    <w:unhideWhenUsed/>
    <w:qFormat/>
    <w:uiPriority w:val="9"/>
    <w:pPr>
      <w:spacing w:before="0" w:beforeAutospacing="1" w:after="0" w:afterAutospacing="1"/>
      <w:jc w:val="left"/>
    </w:pPr>
    <w:rPr>
      <w:rFonts w:hint="eastAsia" w:ascii="SimSun" w:hAnsi="SimSun" w:eastAsia="SimSun" w:cs="SimSun"/>
      <w:b/>
      <w:bCs/>
      <w:i/>
      <w:kern w:val="0"/>
      <w:sz w:val="36"/>
      <w:szCs w:val="36"/>
      <w:lang w:val="en-US" w:eastAsia="zh-CN" w:bidi="ar"/>
    </w:rPr>
  </w:style>
  <w:style w:type="paragraph" w:styleId="3">
    <w:name w:val="heading 4"/>
    <w:basedOn w:val="1"/>
    <w:next w:val="1"/>
    <w:link w:val="17"/>
    <w:qFormat/>
    <w:uiPriority w:val="0"/>
    <w:pPr>
      <w:keepNext/>
      <w:ind w:firstLine="3420"/>
      <w:jc w:val="both"/>
      <w:outlineLvl w:val="3"/>
    </w:pPr>
    <w:rPr>
      <w:rFonts w:cs="Arial"/>
      <w:b/>
      <w:u w:val="single"/>
    </w:rPr>
  </w:style>
  <w:style w:type="paragraph" w:styleId="4">
    <w:name w:val="heading 5"/>
    <w:basedOn w:val="1"/>
    <w:next w:val="1"/>
    <w:link w:val="18"/>
    <w:qFormat/>
    <w:uiPriority w:val="0"/>
    <w:pPr>
      <w:spacing w:before="240" w:after="60"/>
      <w:outlineLvl w:val="4"/>
    </w:pPr>
    <w:rPr>
      <w:rFonts w:ascii="Times New Roman" w:hAnsi="Times New Roman"/>
      <w:b/>
      <w:bCs/>
      <w:i/>
      <w:iCs/>
      <w:sz w:val="26"/>
      <w:szCs w:val="26"/>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Emphasis"/>
    <w:basedOn w:val="5"/>
    <w:qFormat/>
    <w:uiPriority w:val="0"/>
    <w:rPr>
      <w:i/>
      <w:iCs/>
    </w:rPr>
  </w:style>
  <w:style w:type="character" w:styleId="8">
    <w:name w:val="Hyperlink"/>
    <w:basedOn w:val="5"/>
    <w:semiHidden/>
    <w:unhideWhenUsed/>
    <w:qFormat/>
    <w:uiPriority w:val="99"/>
    <w:rPr>
      <w:color w:val="0000FF"/>
      <w:u w:val="single"/>
    </w:rPr>
  </w:style>
  <w:style w:type="character" w:styleId="9">
    <w:name w:val="page number"/>
    <w:basedOn w:val="5"/>
    <w:qFormat/>
    <w:uiPriority w:val="0"/>
  </w:style>
  <w:style w:type="paragraph" w:styleId="10">
    <w:name w:val="Body Text Indent 2"/>
    <w:basedOn w:val="1"/>
    <w:link w:val="22"/>
    <w:qFormat/>
    <w:uiPriority w:val="0"/>
    <w:pPr>
      <w:spacing w:after="120" w:line="480" w:lineRule="auto"/>
      <w:ind w:left="283"/>
    </w:pPr>
    <w:rPr>
      <w:rFonts w:ascii="Times New Roman" w:hAnsi="Times New Roman"/>
      <w:sz w:val="24"/>
    </w:rPr>
  </w:style>
  <w:style w:type="paragraph" w:styleId="11">
    <w:name w:val="HTML Preformatted"/>
    <w:basedOn w:val="1"/>
    <w:link w:val="2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12">
    <w:name w:val="Body Text 2"/>
    <w:basedOn w:val="1"/>
    <w:link w:val="23"/>
    <w:qFormat/>
    <w:uiPriority w:val="0"/>
    <w:pPr>
      <w:spacing w:after="120" w:line="480" w:lineRule="auto"/>
    </w:pPr>
    <w:rPr>
      <w:rFonts w:ascii="Times New Roman" w:hAnsi="Times New Roman"/>
      <w:sz w:val="24"/>
    </w:rPr>
  </w:style>
  <w:style w:type="paragraph" w:styleId="13">
    <w:name w:val="header"/>
    <w:basedOn w:val="1"/>
    <w:link w:val="19"/>
    <w:qFormat/>
    <w:uiPriority w:val="0"/>
    <w:pPr>
      <w:tabs>
        <w:tab w:val="center" w:pos="4419"/>
        <w:tab w:val="right" w:pos="8838"/>
      </w:tabs>
    </w:pPr>
    <w:rPr>
      <w:szCs w:val="20"/>
    </w:rPr>
  </w:style>
  <w:style w:type="paragraph" w:styleId="14">
    <w:name w:val="footer"/>
    <w:basedOn w:val="1"/>
    <w:link w:val="20"/>
    <w:qFormat/>
    <w:uiPriority w:val="0"/>
    <w:pPr>
      <w:tabs>
        <w:tab w:val="center" w:pos="4419"/>
        <w:tab w:val="right" w:pos="8838"/>
      </w:tabs>
    </w:pPr>
    <w:rPr>
      <w:szCs w:val="20"/>
    </w:rPr>
  </w:style>
  <w:style w:type="paragraph" w:styleId="15">
    <w:name w:val="Body Text Indent"/>
    <w:basedOn w:val="1"/>
    <w:link w:val="21"/>
    <w:qFormat/>
    <w:uiPriority w:val="0"/>
    <w:pPr>
      <w:spacing w:line="480" w:lineRule="auto"/>
      <w:ind w:firstLine="3419"/>
      <w:jc w:val="both"/>
    </w:pPr>
    <w:rPr>
      <w:rFonts w:ascii="Univers" w:hAnsi="Univers"/>
      <w:sz w:val="24"/>
    </w:rPr>
  </w:style>
  <w:style w:type="table" w:styleId="16">
    <w:name w:val="Table Grid"/>
    <w:basedOn w:val="6"/>
    <w:qFormat/>
    <w:uiPriority w:val="39"/>
    <w:pPr>
      <w:spacing w:after="0" w:line="240" w:lineRule="auto"/>
    </w:pPr>
    <w:rPr>
      <w:kern w:val="2"/>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Título 4 Char"/>
    <w:basedOn w:val="5"/>
    <w:link w:val="3"/>
    <w:qFormat/>
    <w:uiPriority w:val="0"/>
    <w:rPr>
      <w:rFonts w:ascii="Arial" w:hAnsi="Arial" w:eastAsia="Times New Roman" w:cs="Arial"/>
      <w:b/>
      <w:sz w:val="28"/>
      <w:szCs w:val="24"/>
      <w:u w:val="single"/>
      <w:lang w:eastAsia="pt-BR"/>
    </w:rPr>
  </w:style>
  <w:style w:type="character" w:customStyle="1" w:styleId="18">
    <w:name w:val="Título 5 Char"/>
    <w:basedOn w:val="5"/>
    <w:link w:val="4"/>
    <w:qFormat/>
    <w:uiPriority w:val="0"/>
    <w:rPr>
      <w:rFonts w:ascii="Times New Roman" w:hAnsi="Times New Roman" w:eastAsia="Times New Roman" w:cs="Times New Roman"/>
      <w:b/>
      <w:bCs/>
      <w:i/>
      <w:iCs/>
      <w:sz w:val="26"/>
      <w:szCs w:val="26"/>
      <w:lang w:eastAsia="pt-BR"/>
    </w:rPr>
  </w:style>
  <w:style w:type="character" w:customStyle="1" w:styleId="19">
    <w:name w:val="Cabeçalho Char"/>
    <w:basedOn w:val="5"/>
    <w:link w:val="13"/>
    <w:qFormat/>
    <w:uiPriority w:val="0"/>
    <w:rPr>
      <w:rFonts w:ascii="Arial" w:hAnsi="Arial" w:eastAsia="Times New Roman" w:cs="Times New Roman"/>
      <w:sz w:val="28"/>
      <w:szCs w:val="20"/>
      <w:lang w:eastAsia="pt-BR"/>
    </w:rPr>
  </w:style>
  <w:style w:type="character" w:customStyle="1" w:styleId="20">
    <w:name w:val="Rodapé Char"/>
    <w:basedOn w:val="5"/>
    <w:link w:val="14"/>
    <w:qFormat/>
    <w:uiPriority w:val="0"/>
    <w:rPr>
      <w:rFonts w:ascii="Arial" w:hAnsi="Arial" w:eastAsia="Times New Roman" w:cs="Times New Roman"/>
      <w:sz w:val="28"/>
      <w:szCs w:val="20"/>
      <w:lang w:eastAsia="pt-BR"/>
    </w:rPr>
  </w:style>
  <w:style w:type="character" w:customStyle="1" w:styleId="21">
    <w:name w:val="Recuo de corpo de texto Char"/>
    <w:basedOn w:val="5"/>
    <w:link w:val="15"/>
    <w:qFormat/>
    <w:uiPriority w:val="0"/>
    <w:rPr>
      <w:rFonts w:ascii="Univers" w:hAnsi="Univers" w:eastAsia="Times New Roman" w:cs="Times New Roman"/>
      <w:sz w:val="24"/>
      <w:szCs w:val="24"/>
      <w:lang w:eastAsia="pt-BR"/>
    </w:rPr>
  </w:style>
  <w:style w:type="character" w:customStyle="1" w:styleId="22">
    <w:name w:val="Recuo de corpo de texto 2 Char"/>
    <w:basedOn w:val="5"/>
    <w:link w:val="10"/>
    <w:autoRedefine/>
    <w:qFormat/>
    <w:uiPriority w:val="0"/>
    <w:rPr>
      <w:rFonts w:ascii="Times New Roman" w:hAnsi="Times New Roman" w:eastAsia="Times New Roman" w:cs="Times New Roman"/>
      <w:sz w:val="24"/>
      <w:szCs w:val="24"/>
      <w:lang w:eastAsia="pt-BR"/>
    </w:rPr>
  </w:style>
  <w:style w:type="character" w:customStyle="1" w:styleId="23">
    <w:name w:val="Corpo de texto 2 Char"/>
    <w:basedOn w:val="5"/>
    <w:link w:val="12"/>
    <w:autoRedefine/>
    <w:qFormat/>
    <w:uiPriority w:val="0"/>
    <w:rPr>
      <w:rFonts w:ascii="Times New Roman" w:hAnsi="Times New Roman" w:eastAsia="Times New Roman" w:cs="Times New Roman"/>
      <w:sz w:val="24"/>
      <w:szCs w:val="24"/>
      <w:lang w:eastAsia="pt-BR"/>
    </w:rPr>
  </w:style>
  <w:style w:type="character" w:customStyle="1" w:styleId="24">
    <w:name w:val="Pré-formatação HTML Char"/>
    <w:basedOn w:val="5"/>
    <w:link w:val="11"/>
    <w:autoRedefine/>
    <w:qFormat/>
    <w:uiPriority w:val="0"/>
    <w:rPr>
      <w:rFonts w:ascii="Courier New" w:hAnsi="Courier New" w:eastAsia="Times New Roman" w:cs="Courier New"/>
      <w:sz w:val="20"/>
      <w:szCs w:val="20"/>
      <w:lang w:eastAsia="pt-BR"/>
    </w:rPr>
  </w:style>
  <w:style w:type="character" w:customStyle="1" w:styleId="25">
    <w:name w:val="fontstyle01"/>
    <w:basedOn w:val="5"/>
    <w:autoRedefine/>
    <w:qFormat/>
    <w:uiPriority w:val="0"/>
    <w:rPr>
      <w:rFonts w:hint="default" w:ascii="CIDFont+F4" w:hAnsi="CIDFont+F4"/>
      <w:color w:val="000000"/>
      <w:sz w:val="24"/>
      <w:szCs w:val="24"/>
    </w:rPr>
  </w:style>
  <w:style w:type="character" w:customStyle="1" w:styleId="26">
    <w:name w:val="fontstyle21"/>
    <w:basedOn w:val="5"/>
    <w:autoRedefine/>
    <w:qFormat/>
    <w:uiPriority w:val="0"/>
    <w:rPr>
      <w:rFonts w:hint="default" w:ascii="Helvetica-Bold" w:hAnsi="Helvetica-Bold"/>
      <w:b/>
      <w:bCs/>
      <w:color w:val="000000"/>
      <w:sz w:val="26"/>
      <w:szCs w:val="26"/>
    </w:rPr>
  </w:style>
  <w:style w:type="paragraph" w:customStyle="1" w:styleId="27">
    <w:name w:val="Text body"/>
    <w:basedOn w:val="1"/>
    <w:autoRedefine/>
    <w:qFormat/>
    <w:uiPriority w:val="0"/>
    <w:pPr>
      <w:widowControl w:val="0"/>
      <w:suppressAutoHyphens/>
      <w:autoSpaceDN w:val="0"/>
      <w:spacing w:after="120"/>
    </w:pPr>
    <w:rPr>
      <w:rFonts w:ascii="Times New Roman" w:hAnsi="Times New Roman" w:eastAsia="Arial Unicode MS" w:cs="Tahoma"/>
      <w:kern w:val="3"/>
      <w:sz w:val="24"/>
      <w:lang w:eastAsia="zh-CN"/>
    </w:rPr>
  </w:style>
  <w:style w:type="paragraph" w:styleId="28">
    <w:name w:val="List Paragraph"/>
    <w:basedOn w:val="1"/>
    <w:autoRedefine/>
    <w:qFormat/>
    <w:uiPriority w:val="34"/>
    <w:pPr>
      <w:suppressAutoHyphens/>
      <w:spacing w:line="100" w:lineRule="atLeast"/>
      <w:ind w:left="720"/>
      <w:contextualSpacing/>
    </w:pPr>
    <w:rPr>
      <w:rFonts w:ascii="Times New Roman" w:hAnsi="Times New Roman"/>
      <w:sz w:val="24"/>
    </w:rPr>
  </w:style>
  <w:style w:type="paragraph" w:customStyle="1" w:styleId="29">
    <w:name w:val="Standard"/>
    <w:autoRedefine/>
    <w:qFormat/>
    <w:uiPriority w:val="0"/>
    <w:pPr>
      <w:widowControl w:val="0"/>
      <w:suppressAutoHyphens/>
      <w:autoSpaceDN w:val="0"/>
      <w:spacing w:after="0" w:line="240" w:lineRule="auto"/>
      <w:textAlignment w:val="baseline"/>
    </w:pPr>
    <w:rPr>
      <w:rFonts w:ascii="Times New Roman" w:hAnsi="Times New Roman" w:eastAsia="SimSun" w:cs="Tahoma"/>
      <w:kern w:val="3"/>
      <w:sz w:val="24"/>
      <w:szCs w:val="24"/>
      <w:lang w:val="pt-BR" w:eastAsia="zh-CN" w:bidi="hi-IN"/>
    </w:rPr>
  </w:style>
  <w:style w:type="paragraph" w:customStyle="1" w:styleId="30">
    <w:name w:val="WW-Corpo de texto 3"/>
    <w:basedOn w:val="1"/>
    <w:autoRedefine/>
    <w:qFormat/>
    <w:uiPriority w:val="0"/>
    <w:pPr>
      <w:jc w:val="both"/>
    </w:pPr>
    <w:rPr>
      <w:rFonts w:ascii="Times New Roman" w:hAnsi="Times New Roman"/>
      <w:sz w:val="24"/>
      <w:szCs w:val="20"/>
      <w:lang w:eastAsia="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837</Words>
  <Characters>4523</Characters>
  <Lines>37</Lines>
  <Paragraphs>10</Paragraphs>
  <TotalTime>22</TotalTime>
  <ScaleCrop>false</ScaleCrop>
  <LinksUpToDate>false</LinksUpToDate>
  <CharactersWithSpaces>5350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2023-11-01T13:12:00Z</dcterms:created>
  <dc:creator>Jefferson</dc:creator>
  <cp:lastModifiedBy>Compras Prefeitura</cp:lastModifiedBy>
  <cp:lastPrinted>2025-05-20T17:16:00Z</cp:lastPrinted>
  <dcterms:modified xsi:type="dcterms:W3CDTF">2025-07-22T10:36:51Z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06A31C0A8887499EA90320F2081912DD_13</vt:lpwstr>
  </property>
</Properties>
</file>