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574B86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4460A286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5"/>
        <w:tblW w:w="103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0"/>
        <w:gridCol w:w="7763"/>
      </w:tblGrid>
      <w:tr w14:paraId="5865A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0" w:type="dxa"/>
            <w:shd w:val="clear" w:color="auto" w:fill="auto"/>
          </w:tcPr>
          <w:p w14:paraId="6F65E1F7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763" w:type="dxa"/>
            <w:shd w:val="clear" w:color="auto" w:fill="auto"/>
          </w:tcPr>
          <w:p w14:paraId="5EADE2D5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/>
                <w:color w:val="000000" w:themeColor="text1"/>
                <w:szCs w:val="28"/>
                <w:lang w:val="pt-BR"/>
                <w14:textFill>
                  <w14:solidFill>
                    <w14:schemeClr w14:val="tx1"/>
                  </w14:solidFill>
                </w14:textFill>
              </w:rPr>
              <w:t>Secretaria de Agricultura e Meio Ambiente</w:t>
            </w:r>
          </w:p>
        </w:tc>
      </w:tr>
      <w:tr w14:paraId="493F8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0" w:type="dxa"/>
            <w:shd w:val="clear" w:color="auto" w:fill="auto"/>
          </w:tcPr>
          <w:p w14:paraId="79A9F304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763" w:type="dxa"/>
            <w:shd w:val="clear" w:color="auto" w:fill="auto"/>
          </w:tcPr>
          <w:p w14:paraId="7AC61DFB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/>
                <w:szCs w:val="28"/>
                <w:lang w:val="pt-BR"/>
              </w:rPr>
              <w:t xml:space="preserve">Edilson Valejo </w:t>
            </w:r>
          </w:p>
        </w:tc>
      </w:tr>
      <w:tr w14:paraId="7B713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0" w:type="dxa"/>
            <w:shd w:val="clear" w:color="auto" w:fill="auto"/>
          </w:tcPr>
          <w:p w14:paraId="761F8EAD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763" w:type="dxa"/>
            <w:shd w:val="clear" w:color="auto" w:fill="auto"/>
          </w:tcPr>
          <w:p w14:paraId="7EBC6358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/>
                <w:szCs w:val="28"/>
                <w:lang w:val="pt-BR"/>
              </w:rPr>
              <w:t>meioambiente@quata.sp.gov</w:t>
            </w:r>
          </w:p>
        </w:tc>
      </w:tr>
    </w:tbl>
    <w:p w14:paraId="061A1B95">
      <w:pPr>
        <w:jc w:val="both"/>
        <w:rPr>
          <w:rFonts w:ascii="Times New Roman" w:hAnsi="Times New Roman"/>
          <w:b/>
          <w:szCs w:val="28"/>
        </w:rPr>
      </w:pPr>
    </w:p>
    <w:p w14:paraId="02549A18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3D91C3D9">
      <w:pPr>
        <w:pStyle w:val="2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4"/>
          <w:szCs w:val="24"/>
        </w:rPr>
        <w:t>O presente termo de referência tem por objeto a</w:t>
      </w:r>
      <w:r>
        <w:rPr>
          <w:rFonts w:hint="default" w:cs="Times New Roman"/>
          <w:sz w:val="24"/>
          <w:szCs w:val="24"/>
          <w:lang w:val="pt-BR"/>
        </w:rPr>
        <w:t xml:space="preserve"> contratação de empresa para </w:t>
      </w:r>
      <w:r>
        <w:rPr>
          <w:rFonts w:hint="default" w:ascii="Times New Roman" w:hAnsi="Times New Roman" w:cs="Times New Roman"/>
          <w:sz w:val="24"/>
          <w:szCs w:val="24"/>
        </w:rPr>
        <w:t xml:space="preserve">prestação de serviços de 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>Adequação</w:t>
      </w:r>
      <w:r>
        <w:rPr>
          <w:rFonts w:hint="default" w:cs="Times New Roman"/>
          <w:sz w:val="24"/>
          <w:szCs w:val="24"/>
          <w:lang w:val="pt-BR"/>
        </w:rPr>
        <w:t xml:space="preserve"> no prédio da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 xml:space="preserve"> Secretaria de Agricultura e Meio Ambiente </w:t>
      </w:r>
      <w:r>
        <w:rPr>
          <w:rFonts w:hint="default" w:ascii="Times New Roman" w:hAnsi="Times New Roman" w:cs="Times New Roman"/>
          <w:sz w:val="24"/>
          <w:szCs w:val="24"/>
        </w:rPr>
        <w:t>por empresa legalmente estabelecida e especializada,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 xml:space="preserve"> afim de instalação da cozinha piloto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experimental que atenda 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as especificações da Secretaria de Abastecimento exigida.</w:t>
      </w:r>
      <w:r>
        <w:rPr>
          <w:rFonts w:hint="default" w:eastAsia="SimSun" w:cs="Times New Roman"/>
          <w:sz w:val="24"/>
          <w:szCs w:val="24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Os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 xml:space="preserve"> serviços prestados incluem o </w:t>
      </w:r>
      <w:r>
        <w:rPr>
          <w:rFonts w:hint="default" w:ascii="Times New Roman" w:hAnsi="Times New Roman" w:cs="Times New Roman"/>
          <w:sz w:val="24"/>
          <w:szCs w:val="24"/>
        </w:rPr>
        <w:t>fornecimento de materiais e mão de obra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 xml:space="preserve"> conforme planilha  e memorial descritivo integrantes da PASTA TÉCNICA.</w:t>
      </w:r>
      <w:r>
        <w:rPr>
          <w:rFonts w:hint="default" w:ascii="Times New Roman" w:hAnsi="Times New Roman" w:cs="Times New Roman"/>
          <w:sz w:val="22"/>
          <w:szCs w:val="22"/>
        </w:rPr>
        <w:t xml:space="preserve"> </w:t>
      </w:r>
    </w:p>
    <w:p w14:paraId="2CA20231">
      <w:pPr>
        <w:jc w:val="both"/>
        <w:rPr>
          <w:rFonts w:hint="default" w:ascii="Times New Roman" w:hAnsi="Times New Roman" w:eastAsia="SimSun" w:cs="Times New Roman"/>
          <w:sz w:val="24"/>
          <w:szCs w:val="24"/>
          <w:lang w:val="pt-BR"/>
        </w:rPr>
      </w:pPr>
    </w:p>
    <w:tbl>
      <w:tblPr>
        <w:tblStyle w:val="5"/>
        <w:tblpPr w:leftFromText="180" w:rightFromText="180" w:vertAnchor="text" w:horzAnchor="page" w:tblpX="433" w:tblpY="165"/>
        <w:tblOverlap w:val="never"/>
        <w:tblW w:w="11183" w:type="dxa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83"/>
        <w:gridCol w:w="1267"/>
        <w:gridCol w:w="2466"/>
        <w:gridCol w:w="700"/>
        <w:gridCol w:w="650"/>
        <w:gridCol w:w="1367"/>
        <w:gridCol w:w="1400"/>
        <w:gridCol w:w="2650"/>
      </w:tblGrid>
      <w:tr w14:paraId="79A82C64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493" w:hRule="atLeast"/>
        </w:trPr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97D77F">
            <w:pPr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DDC992">
            <w:pPr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330DA1B">
            <w:pPr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PRODUTO/</w:t>
            </w:r>
          </w:p>
          <w:p w14:paraId="2B58FDBE">
            <w:pPr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F1091F">
            <w:pPr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UNID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AED977">
            <w:pPr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Q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TD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487DB8">
            <w:pPr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E22742E">
            <w:pPr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VALOR TOTAL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6C969E">
            <w:pPr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CNAE</w:t>
            </w:r>
          </w:p>
        </w:tc>
      </w:tr>
      <w:tr w14:paraId="640D455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473" w:hRule="atLeast"/>
        </w:trPr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FF22FA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703537">
            <w:pPr>
              <w:jc w:val="left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lang w:val="pt-BR"/>
              </w:rPr>
              <w:t>034.032.098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9DC86D">
            <w:pPr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Contratação de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  <w:t xml:space="preserve"> empresa para prestação de serviço (</w:t>
            </w: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mão de obra e material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  <w:t>)</w:t>
            </w: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 xml:space="preserve"> para adequação de cozinha pilot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  <w:t>o</w:t>
            </w:r>
          </w:p>
          <w:p w14:paraId="0E3776CF">
            <w:pPr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  <w:t>Conforme projeto básico e planilha orçamentária</w:t>
            </w:r>
          </w:p>
          <w:p w14:paraId="410ACF67">
            <w:pPr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  <w:p w14:paraId="2C29720E">
            <w:pPr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3950D7"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SV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5C93CD5"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560F07"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lang w:val="pt-BR"/>
              </w:rPr>
              <w:t>R$ 18.122,91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69AED50"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lang w:val="pt-BR"/>
              </w:rPr>
              <w:t>R$ 18.122,91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4BCAC1">
            <w:pPr>
              <w:jc w:val="left"/>
              <w:rPr>
                <w:rFonts w:hint="default" w:ascii="Times New Roman" w:hAnsi="Times New Roman" w:eastAsia="sans-serif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6"/>
                <w:szCs w:val="16"/>
              </w:rPr>
              <w:t>4399-1/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6"/>
                <w:szCs w:val="16"/>
                <w:lang w:val="pt-BR"/>
              </w:rPr>
              <w:t>03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-</w:t>
            </w:r>
            <w:r>
              <w:rPr>
                <w:rFonts w:hint="default" w:ascii="Times New Roman" w:hAnsi="Times New Roman" w:eastAsia="sans-serif" w:cs="Times New Roman"/>
                <w:b w:val="0"/>
                <w:bCs w:val="0"/>
                <w:i/>
                <w:iCs/>
                <w:caps w:val="0"/>
                <w:color w:val="000000"/>
                <w:spacing w:val="0"/>
                <w:sz w:val="16"/>
                <w:szCs w:val="16"/>
                <w:shd w:val="clear" w:fill="FFFFFF"/>
              </w:rPr>
              <w:t> </w:t>
            </w:r>
            <w:r>
              <w:rPr>
                <w:rFonts w:hint="default" w:ascii="Times New Roman" w:hAnsi="Times New Roman" w:eastAsia="sans-serif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FFFFF"/>
              </w:rPr>
              <w:t>obras de alvenaria</w:t>
            </w:r>
          </w:p>
          <w:p w14:paraId="66712783">
            <w:pPr>
              <w:jc w:val="left"/>
              <w:rPr>
                <w:rFonts w:hint="default" w:ascii="Times New Roman" w:hAnsi="Times New Roman" w:eastAsia="sans-serif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FFFFF"/>
              </w:rPr>
            </w:pPr>
          </w:p>
          <w:p w14:paraId="6042ABCB">
            <w:pPr>
              <w:jc w:val="left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4399-1/99 Serviços especializados para construção não especificados anteriormente</w:t>
            </w:r>
          </w:p>
          <w:p w14:paraId="252E0ECA">
            <w:pPr>
              <w:jc w:val="left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  <w:p w14:paraId="41063BF4">
            <w:pP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sz w:val="16"/>
                <w:szCs w:val="16"/>
                <w:shd w:val="clear" w:color="auto" w:fill="F7F7F7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sz w:val="16"/>
                <w:szCs w:val="16"/>
                <w:shd w:val="clear" w:color="auto" w:fill="F7F7F7"/>
              </w:rPr>
              <w:t>4330-4/99 Outras obras de acabamento da construção</w:t>
            </w:r>
          </w:p>
          <w:p w14:paraId="7E01BACC">
            <w:pP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sz w:val="16"/>
                <w:szCs w:val="16"/>
                <w:shd w:val="clear" w:color="auto" w:fill="F7F7F7"/>
              </w:rPr>
            </w:pPr>
          </w:p>
          <w:p w14:paraId="4FCD7D36">
            <w:pP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sz w:val="16"/>
                <w:szCs w:val="16"/>
                <w:shd w:val="clear" w:color="auto" w:fill="F7F7F7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4120-4/00 Construção de edifícios</w:t>
            </w:r>
          </w:p>
          <w:p w14:paraId="1D64F0CF">
            <w:pP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sz w:val="16"/>
                <w:szCs w:val="16"/>
                <w:shd w:val="clear" w:color="auto" w:fill="F7F7F7"/>
              </w:rPr>
            </w:pPr>
          </w:p>
          <w:p w14:paraId="577E2F06">
            <w:pPr>
              <w:jc w:val="left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  <w:lang w:val="pt-BR"/>
              </w:rPr>
            </w:pPr>
          </w:p>
        </w:tc>
      </w:tr>
    </w:tbl>
    <w:p w14:paraId="2098F602">
      <w:pPr>
        <w:jc w:val="both"/>
        <w:rPr>
          <w:rFonts w:ascii="Times New Roman" w:hAnsi="Times New Roman"/>
          <w:b/>
          <w:sz w:val="24"/>
          <w:szCs w:val="24"/>
        </w:rPr>
      </w:pPr>
    </w:p>
    <w:p w14:paraId="18306EFB">
      <w:pPr>
        <w:jc w:val="both"/>
        <w:rPr>
          <w:rFonts w:ascii="Times New Roman" w:hAnsi="Times New Roman"/>
          <w:i/>
          <w:iCs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1.3. Critério de Julgamento</w:t>
      </w:r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i/>
          <w:iCs/>
          <w:color w:val="FF0000"/>
          <w:sz w:val="24"/>
          <w:szCs w:val="24"/>
        </w:rPr>
        <w:t xml:space="preserve"> </w:t>
      </w:r>
    </w:p>
    <w:p w14:paraId="2C26A9B0">
      <w:pPr>
        <w:jc w:val="both"/>
        <w:rPr>
          <w:rFonts w:hint="default" w:ascii="Times New Roman" w:hAnsi="Times New Roman"/>
          <w:i w:val="0"/>
          <w:iCs w:val="0"/>
          <w:color w:val="auto"/>
          <w:sz w:val="24"/>
          <w:szCs w:val="24"/>
          <w:lang w:val="pt-BR"/>
        </w:rPr>
      </w:pPr>
      <w:r>
        <w:rPr>
          <w:rFonts w:hint="default" w:ascii="Times New Roman" w:hAnsi="Times New Roman"/>
          <w:i w:val="0"/>
          <w:iCs w:val="0"/>
          <w:color w:val="auto"/>
          <w:sz w:val="24"/>
          <w:szCs w:val="24"/>
          <w:lang w:val="pt-BR"/>
        </w:rPr>
        <w:t>O julgamento será de menor preço.</w:t>
      </w:r>
    </w:p>
    <w:p w14:paraId="09F4B8CA">
      <w:pPr>
        <w:jc w:val="both"/>
        <w:rPr>
          <w:rFonts w:ascii="Times New Roman" w:hAnsi="Times New Roman"/>
          <w:b/>
          <w:szCs w:val="28"/>
        </w:rPr>
      </w:pPr>
    </w:p>
    <w:p w14:paraId="4BE50D98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/>
          <w:sz w:val="24"/>
          <w:szCs w:val="24"/>
        </w:rPr>
        <w:t>1.4. Justificativa para dispensa dos documentos solicitado</w:t>
      </w:r>
      <w:r>
        <w:rPr>
          <w:rFonts w:hint="default" w:ascii="Times New Roman" w:hAnsi="Times New Roman"/>
          <w:b/>
          <w:sz w:val="24"/>
          <w:szCs w:val="24"/>
          <w:lang w:val="pt-BR"/>
        </w:rPr>
        <w:t>:</w:t>
      </w:r>
    </w:p>
    <w:p w14:paraId="2C7E5A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/>
          <w:bCs/>
          <w:sz w:val="24"/>
          <w:szCs w:val="24"/>
          <w:lang w:val="pt-BR"/>
        </w:rPr>
      </w:pPr>
      <w:r>
        <w:rPr>
          <w:rFonts w:hint="default" w:ascii="Times New Roman" w:hAnsi="Times New Roman"/>
          <w:sz w:val="24"/>
          <w:szCs w:val="24"/>
          <w:lang w:val="pt-BR"/>
        </w:rPr>
        <w:t>É dispensado análise de risco, porém consta em anexo projeto básico, planilha orçamentária e memorial descritivo.</w:t>
      </w:r>
    </w:p>
    <w:p w14:paraId="6CB069EC">
      <w:pPr>
        <w:jc w:val="both"/>
        <w:rPr>
          <w:rFonts w:hint="default" w:ascii="Times New Roman" w:hAnsi="Times New Roman"/>
          <w:i w:val="0"/>
          <w:iCs w:val="0"/>
          <w:color w:val="auto"/>
          <w:sz w:val="24"/>
          <w:szCs w:val="24"/>
          <w:lang w:val="pt-BR"/>
        </w:rPr>
      </w:pPr>
    </w:p>
    <w:p w14:paraId="1CCF3CE7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1.5. Valor total:</w:t>
      </w:r>
    </w:p>
    <w:p w14:paraId="141BB5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09"/>
        <w:jc w:val="both"/>
        <w:textAlignment w:val="auto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O valor</w:t>
      </w:r>
      <w:r>
        <w:rPr>
          <w:rFonts w:hint="default" w:ascii="Times New Roman" w:hAnsi="Times New Roman"/>
          <w:bCs/>
          <w:sz w:val="24"/>
          <w:szCs w:val="24"/>
          <w:lang w:val="pt-BR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total </w:t>
      </w:r>
      <w:r>
        <w:rPr>
          <w:rFonts w:hint="default" w:ascii="Times New Roman" w:hAnsi="Times New Roman"/>
          <w:bCs/>
          <w:sz w:val="24"/>
          <w:szCs w:val="24"/>
          <w:lang w:val="pt-BR"/>
        </w:rPr>
        <w:t xml:space="preserve">estimado </w:t>
      </w:r>
      <w:r>
        <w:rPr>
          <w:rFonts w:ascii="Times New Roman" w:hAnsi="Times New Roman"/>
          <w:bCs/>
          <w:sz w:val="24"/>
          <w:szCs w:val="24"/>
        </w:rPr>
        <w:t>para a execução do objeto descrito acima é de</w:t>
      </w:r>
      <w:r>
        <w:rPr>
          <w:rFonts w:hint="default" w:ascii="Times New Roman" w:hAnsi="Times New Roman"/>
          <w:bCs/>
          <w:sz w:val="24"/>
          <w:szCs w:val="24"/>
          <w:lang w:val="pt-BR"/>
        </w:rPr>
        <w:t xml:space="preserve"> aproximadamente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i w:val="0"/>
          <w:iCs/>
          <w:color w:val="auto"/>
          <w:sz w:val="24"/>
          <w:szCs w:val="24"/>
          <w:u w:val="none"/>
        </w:rPr>
        <w:t xml:space="preserve">R$ </w:t>
      </w:r>
      <w:r>
        <w:rPr>
          <w:rFonts w:hint="default" w:ascii="Times New Roman" w:hAnsi="Times New Roman"/>
          <w:bCs/>
          <w:i w:val="0"/>
          <w:iCs/>
          <w:color w:val="auto"/>
          <w:sz w:val="24"/>
          <w:szCs w:val="24"/>
          <w:u w:val="none"/>
          <w:lang w:val="pt-BR"/>
        </w:rPr>
        <w:t xml:space="preserve">18.122,91 (dezoito mil cento e vinte dois reais e noventa e um centavos), </w:t>
      </w:r>
      <w:r>
        <w:rPr>
          <w:rFonts w:hint="default" w:ascii="Times New Roman" w:hAnsi="Times New Roman" w:cs="Times New Roman"/>
          <w:b w:val="0"/>
          <w:bCs/>
          <w:i w:val="0"/>
          <w:iCs/>
          <w:sz w:val="24"/>
          <w:szCs w:val="24"/>
          <w:u w:val="single"/>
          <w:lang w:val="pt-BR"/>
        </w:rPr>
        <w:t>c</w:t>
      </w:r>
      <w:r>
        <w:rPr>
          <w:rFonts w:hint="default" w:ascii="Times New Roman" w:hAnsi="Times New Roman" w:cs="Times New Roman"/>
          <w:b w:val="0"/>
          <w:bCs/>
          <w:i w:val="0"/>
          <w:iCs/>
          <w:sz w:val="24"/>
          <w:szCs w:val="24"/>
          <w:u w:val="none"/>
          <w:lang w:val="pt-BR"/>
        </w:rPr>
        <w:t xml:space="preserve">onsiderando planilha orçamentária elaborada pelo setor de engenharia de acordo com os valores praticados no mercado. </w:t>
      </w:r>
      <w:r>
        <w:rPr>
          <w:rFonts w:hint="default" w:ascii="Times New Roman" w:hAnsi="Times New Roman" w:cs="Times New Roman"/>
          <w:bCs/>
          <w:sz w:val="24"/>
          <w:szCs w:val="24"/>
        </w:rPr>
        <w:t>As estimativas de custo foram formuladas considerando as planilhas oficiais do CDHU (Companhia de Desenvolvimento Habitacional e Urbano) e do SINAPI (Sistema Nacional de Pesquisa de Custos e Índices da Construção Civil), as quais servem como parâmetros amplamente utilizados para cálculo de custos de obras públicas e privadas em todo o território nacional. Essas planilhas fornecem valores atualizados para materiais, mão de obra e equipamentos, levando em consideração as variações regionais e as condições de mercado.</w:t>
      </w:r>
    </w:p>
    <w:p w14:paraId="4AAAE8D3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644248E9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 w:val="28"/>
          <w:szCs w:val="28"/>
        </w:rPr>
        <w:t>1.6</w:t>
      </w:r>
      <w:r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Registro de Preços:</w:t>
      </w:r>
      <w:r>
        <w:rPr>
          <w:rFonts w:ascii="Times New Roman" w:hAnsi="Times New Roman"/>
          <w:bCs/>
          <w:szCs w:val="28"/>
        </w:rPr>
        <w:t xml:space="preserve"> () SIM    (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 xml:space="preserve"> </w:t>
      </w: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  <w:r>
        <w:rPr>
          <w:rFonts w:ascii="Times New Roman" w:hAnsi="Times New Roman"/>
          <w:bCs/>
          <w:szCs w:val="28"/>
        </w:rPr>
        <w:t xml:space="preserve">) NÃO </w:t>
      </w:r>
    </w:p>
    <w:p w14:paraId="1202E76F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 w:val="24"/>
          <w:szCs w:val="24"/>
          <w:lang w:val="pt-BR"/>
        </w:rPr>
        <w:t>Compra direta</w:t>
      </w:r>
    </w:p>
    <w:p w14:paraId="3E300FF9">
      <w:pPr>
        <w:numPr>
          <w:ilvl w:val="0"/>
          <w:numId w:val="1"/>
        </w:num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Justificativa:</w:t>
      </w:r>
    </w:p>
    <w:p w14:paraId="098FD447">
      <w:pPr>
        <w:numPr>
          <w:ilvl w:val="0"/>
          <w:numId w:val="0"/>
        </w:num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Aquisição de mão de obra e material por conta da empresa contratada para adequação de cozinha piloto conforme os padrões técnicos para implantação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 xml:space="preserve"> da cozinha piloto, 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visando incrementar a capacitação de agentes multiplicadores das ações de segurança alimentar e nutricional sustentável. </w:t>
      </w:r>
    </w:p>
    <w:p w14:paraId="53E1F1C9">
      <w:pPr>
        <w:numPr>
          <w:ilvl w:val="0"/>
          <w:numId w:val="0"/>
        </w:numPr>
        <w:jc w:val="both"/>
        <w:rPr>
          <w:rFonts w:hint="default" w:ascii="Times New Roman" w:hAnsi="Times New Roman" w:eastAsia="Segoe UI"/>
          <w:i w:val="0"/>
          <w:iCs w:val="0"/>
          <w:caps w:val="0"/>
          <w:color w:val="0D0D0D"/>
          <w:spacing w:val="0"/>
          <w:sz w:val="24"/>
          <w:szCs w:val="24"/>
          <w:shd w:val="clear" w:fill="FFFFFF"/>
          <w:lang w:val="pt-BR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Com essa aquisição, a Secretaria de Agricultura e Meio Ambiente pretende atender e definir os padrões técnicos para implantação do projeto estadual COZINHALIMENTO, instituido pelo decreto Estadual n° 50.807 de 18 de maio de 2006.</w:t>
      </w:r>
    </w:p>
    <w:p w14:paraId="08FB2D76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Segoe UI"/>
          <w:i w:val="0"/>
          <w:iCs w:val="0"/>
          <w:caps w:val="0"/>
          <w:color w:val="0D0D0D"/>
          <w:spacing w:val="0"/>
          <w:sz w:val="24"/>
          <w:szCs w:val="24"/>
          <w:shd w:val="clear" w:fill="FFFFFF"/>
          <w:lang w:val="pt-BR"/>
        </w:rPr>
      </w:pPr>
    </w:p>
    <w:p w14:paraId="3B56AEF6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tbl>
      <w:tblPr>
        <w:tblStyle w:val="5"/>
        <w:tblpPr w:leftFromText="180" w:rightFromText="180" w:vertAnchor="text" w:horzAnchor="page" w:tblpX="2147" w:tblpY="23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2"/>
        <w:gridCol w:w="4296"/>
        <w:gridCol w:w="2534"/>
      </w:tblGrid>
      <w:tr w14:paraId="570D9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2" w:type="dxa"/>
            <w:shd w:val="clear" w:color="auto" w:fill="auto"/>
          </w:tcPr>
          <w:p w14:paraId="31A98E1E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Reduzido</w:t>
            </w:r>
          </w:p>
        </w:tc>
        <w:tc>
          <w:tcPr>
            <w:tcW w:w="4296" w:type="dxa"/>
            <w:shd w:val="clear" w:color="auto" w:fill="auto"/>
          </w:tcPr>
          <w:p w14:paraId="5EC13225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Programática</w:t>
            </w:r>
          </w:p>
        </w:tc>
        <w:tc>
          <w:tcPr>
            <w:tcW w:w="2534" w:type="dxa"/>
            <w:shd w:val="clear" w:color="auto" w:fill="auto"/>
          </w:tcPr>
          <w:p w14:paraId="624D86CF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Fonte</w:t>
            </w:r>
          </w:p>
        </w:tc>
      </w:tr>
      <w:tr w14:paraId="30906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2" w:type="dxa"/>
            <w:shd w:val="clear" w:color="auto" w:fill="auto"/>
          </w:tcPr>
          <w:p w14:paraId="2D2CEA8F">
            <w:pPr>
              <w:jc w:val="both"/>
              <w:rPr>
                <w:rFonts w:hint="default" w:ascii="Times New Roman" w:hAnsi="Times New Roman"/>
                <w:bCs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/>
                <w:bCs/>
                <w:sz w:val="24"/>
                <w:szCs w:val="24"/>
                <w:lang w:val="pt-BR"/>
              </w:rPr>
              <w:t>405</w:t>
            </w:r>
          </w:p>
        </w:tc>
        <w:tc>
          <w:tcPr>
            <w:tcW w:w="4296" w:type="dxa"/>
            <w:shd w:val="clear" w:color="auto" w:fill="auto"/>
          </w:tcPr>
          <w:p w14:paraId="3BD7D134">
            <w:pPr>
              <w:jc w:val="both"/>
              <w:rPr>
                <w:rFonts w:hint="default" w:ascii="Times New Roman" w:hAnsi="Times New Roman"/>
                <w:bCs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pt-BR"/>
              </w:rPr>
              <w:t>Manut. Depto de Agricultura e Meio Ambiente</w:t>
            </w:r>
          </w:p>
        </w:tc>
        <w:tc>
          <w:tcPr>
            <w:tcW w:w="2534" w:type="dxa"/>
            <w:shd w:val="clear" w:color="auto" w:fill="auto"/>
          </w:tcPr>
          <w:p w14:paraId="28EACA5B">
            <w:pPr>
              <w:jc w:val="both"/>
              <w:rPr>
                <w:rFonts w:hint="default" w:ascii="Times New Roman" w:hAnsi="Times New Roman"/>
                <w:bCs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/>
                <w:bCs/>
                <w:sz w:val="24"/>
                <w:szCs w:val="24"/>
                <w:lang w:val="pt-BR"/>
              </w:rPr>
              <w:t>Recurso próprio</w:t>
            </w:r>
          </w:p>
        </w:tc>
      </w:tr>
    </w:tbl>
    <w:p w14:paraId="47C31C65">
      <w:pPr>
        <w:jc w:val="both"/>
        <w:rPr>
          <w:rFonts w:ascii="Times New Roman" w:hAnsi="Times New Roman"/>
          <w:b/>
          <w:bCs/>
          <w:szCs w:val="28"/>
        </w:rPr>
      </w:pPr>
    </w:p>
    <w:p w14:paraId="405F4438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3.1. Origem do recurso:</w:t>
      </w:r>
    </w:p>
    <w:p w14:paraId="272B9ABE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hint="default" w:ascii="Times New Roman" w:hAnsi="Times New Roman"/>
          <w:bCs/>
          <w:sz w:val="24"/>
          <w:szCs w:val="24"/>
          <w:lang w:val="pt-BR"/>
        </w:rPr>
        <w:t xml:space="preserve">Recurso próprio </w:t>
      </w:r>
    </w:p>
    <w:p w14:paraId="59BE1658">
      <w:pPr>
        <w:jc w:val="both"/>
        <w:rPr>
          <w:rFonts w:ascii="Times New Roman" w:hAnsi="Times New Roman"/>
          <w:b/>
          <w:bCs/>
          <w:szCs w:val="28"/>
        </w:rPr>
      </w:pPr>
    </w:p>
    <w:p w14:paraId="2D4F2DE3">
      <w:pPr>
        <w:numPr>
          <w:ilvl w:val="0"/>
          <w:numId w:val="2"/>
        </w:num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Condições de habilitação:</w:t>
      </w:r>
    </w:p>
    <w:p w14:paraId="4C6D47D4">
      <w:pPr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pt-BR"/>
        </w:rPr>
        <w:t>Empresa deve estar de acordo com as normas para contratação pública com CNPJ ativo e CNAE  compatível com o serviço solicitado. Também deve ser apresentado certificado de registro no CREA ou CAU.</w:t>
      </w:r>
    </w:p>
    <w:p w14:paraId="530F6C07">
      <w:pPr>
        <w:jc w:val="both"/>
        <w:rPr>
          <w:rFonts w:ascii="Times New Roman" w:hAnsi="Times New Roman"/>
          <w:b/>
          <w:bCs/>
          <w:szCs w:val="28"/>
        </w:rPr>
      </w:pPr>
    </w:p>
    <w:p w14:paraId="7617748E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</w:p>
    <w:p w14:paraId="5496474C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5.1 – Prazo e forma de entrega/execução</w:t>
      </w:r>
    </w:p>
    <w:p w14:paraId="276931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/>
          <w:bCs/>
          <w:sz w:val="24"/>
          <w:szCs w:val="24"/>
          <w:lang w:val="pt-BR"/>
        </w:rPr>
      </w:pPr>
      <w:r>
        <w:rPr>
          <w:rFonts w:hint="default" w:ascii="Times New Roman" w:hAnsi="Times New Roman"/>
          <w:bCs/>
          <w:sz w:val="24"/>
          <w:szCs w:val="24"/>
          <w:lang w:val="pt-BR"/>
        </w:rPr>
        <w:t>Iniciar dos serviços em até 5 dias após o recebimento do empenho.</w:t>
      </w:r>
    </w:p>
    <w:p w14:paraId="21CA34BC">
      <w:pPr>
        <w:pStyle w:val="2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 xml:space="preserve">Para conclusão: </w:t>
      </w:r>
      <w:r>
        <w:rPr>
          <w:rFonts w:hint="default"/>
          <w:sz w:val="24"/>
          <w:szCs w:val="24"/>
          <w:lang w:val="pt-BR"/>
        </w:rPr>
        <w:t>30</w:t>
      </w:r>
      <w:r>
        <w:rPr>
          <w:sz w:val="24"/>
          <w:szCs w:val="24"/>
        </w:rPr>
        <w:t xml:space="preserve"> (trinta) dias, contados da data de </w:t>
      </w:r>
      <w:r>
        <w:rPr>
          <w:rFonts w:hint="default"/>
          <w:sz w:val="24"/>
          <w:szCs w:val="24"/>
          <w:lang w:val="pt-BR"/>
        </w:rPr>
        <w:t>início do serviço</w:t>
      </w:r>
      <w:r>
        <w:rPr>
          <w:sz w:val="24"/>
          <w:szCs w:val="24"/>
        </w:rPr>
        <w:t>.</w:t>
      </w:r>
    </w:p>
    <w:p w14:paraId="26C2EDEF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61136C0">
      <w:pPr>
        <w:jc w:val="both"/>
        <w:rPr>
          <w:rFonts w:hint="default" w:ascii="Times New Roman" w:hAnsi="Times New Roman" w:eastAsia="SimSun" w:cs="Times New Roman"/>
          <w:sz w:val="24"/>
          <w:szCs w:val="24"/>
          <w:lang w:val="pt-BR"/>
        </w:rPr>
      </w:pPr>
      <w:r>
        <w:rPr>
          <w:rFonts w:ascii="Times New Roman" w:hAnsi="Times New Roman"/>
          <w:b/>
          <w:bCs/>
          <w:szCs w:val="28"/>
        </w:rPr>
        <w:t>5.2 – Local de entrega/execução, responsável pelo recebimento do objeto:</w:t>
      </w:r>
    </w:p>
    <w:p w14:paraId="3D8B80BA">
      <w:pPr>
        <w:pStyle w:val="2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left="0"/>
        <w:jc w:val="both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pt-BR"/>
        </w:rPr>
        <w:t>A execução do serviço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será no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pt-BR"/>
        </w:rPr>
        <w:t xml:space="preserve"> prédio da Secretaria de Agricultura e Meio Ambiente (Sindicato Rural) localizado na </w:t>
      </w:r>
      <w:r>
        <w:rPr>
          <w:rStyle w:val="6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Rua Tertuliano Roncada, 285 -</w:t>
      </w:r>
      <w:r>
        <w:rPr>
          <w:rStyle w:val="6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pt-BR"/>
        </w:rPr>
        <w:t xml:space="preserve"> bairro</w:t>
      </w:r>
      <w:r>
        <w:rPr>
          <w:rStyle w:val="6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 xml:space="preserve"> Pedregal</w:t>
      </w:r>
      <w:r>
        <w:rPr>
          <w:rStyle w:val="6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pt-BR"/>
        </w:rPr>
        <w:t xml:space="preserve">, esquina com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pt-BR"/>
        </w:rPr>
        <w:t xml:space="preserve">Anel Viário Jenny Guerra Pereira dos Santo - </w:t>
      </w:r>
      <w:r>
        <w:rPr>
          <w:rFonts w:hint="default" w:ascii="Times New Roman" w:hAnsi="Times New Roman" w:eastAsia="sans-serif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 xml:space="preserve"> Quatá - SP, 19780-000</w:t>
      </w:r>
      <w:r>
        <w:rPr>
          <w:rFonts w:hint="default" w:ascii="Times New Roman" w:hAnsi="Times New Roman" w:eastAsia="sans-serif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pt-BR"/>
        </w:rPr>
        <w:t>).</w:t>
      </w:r>
    </w:p>
    <w:p w14:paraId="6FB6AE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jc w:val="both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pt-BR"/>
        </w:rPr>
      </w:pPr>
      <w:r>
        <w:rPr>
          <w:rFonts w:hint="default" w:ascii="Times New Roman" w:hAnsi="Times New Roman" w:eastAsia="SimSun" w:cs="Times New Roman"/>
          <w:b w:val="0"/>
          <w:bCs w:val="0"/>
          <w:color w:val="auto"/>
          <w:sz w:val="24"/>
          <w:szCs w:val="24"/>
          <w:lang w:val="pt-BR"/>
        </w:rPr>
        <w:t>Responsável pela fiscalização será  Aline José da Silva - Diretora de Agricultura e Meio Ambiente - cpf: 385.XXX.XXX-63</w:t>
      </w:r>
    </w:p>
    <w:p w14:paraId="21D604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jc w:val="both"/>
        <w:textAlignment w:val="auto"/>
        <w:rPr>
          <w:rFonts w:hint="default"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u w:val="none"/>
          <w:lang w:val="pt-BR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</w:rPr>
        <w:t xml:space="preserve">Responsável para recebimento do objeto será a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pt-BR"/>
        </w:rPr>
        <w:t>S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</w:rPr>
        <w:t>ecretári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pt-BR"/>
        </w:rPr>
        <w:t>o de Agricultura e Meio Ambiente Edilson Valejo.</w:t>
      </w:r>
    </w:p>
    <w:p w14:paraId="28A304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jc w:val="both"/>
        <w:textAlignment w:val="auto"/>
        <w:rPr>
          <w:rFonts w:hint="default"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u w:val="none"/>
          <w:lang w:val="pt-BR"/>
        </w:rPr>
      </w:pPr>
    </w:p>
    <w:p w14:paraId="218F96EB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5.3 – Condições de garantia e assistência técnica:</w:t>
      </w:r>
    </w:p>
    <w:p w14:paraId="651765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/>
          <w:sz w:val="24"/>
          <w:szCs w:val="24"/>
          <w:lang w:val="pt-BR"/>
        </w:rPr>
      </w:pPr>
      <w:r>
        <w:rPr>
          <w:rFonts w:hint="default" w:ascii="Times New Roman" w:hAnsi="Times New Roman"/>
          <w:sz w:val="24"/>
          <w:szCs w:val="24"/>
          <w:lang w:val="pt-BR"/>
        </w:rPr>
        <w:t>A garantia dos serviços executados será de 01 ano contado do recebimento definitivo do serviço.</w:t>
      </w:r>
    </w:p>
    <w:p w14:paraId="0ADAF76E">
      <w:pPr>
        <w:jc w:val="both"/>
        <w:rPr>
          <w:rFonts w:hint="default" w:ascii="Times New Roman" w:hAnsi="Times New Roman" w:cs="Times New Roman"/>
          <w:i w:val="0"/>
          <w:iCs/>
          <w:color w:val="000000" w:themeColor="text1"/>
          <w:sz w:val="24"/>
          <w:szCs w:val="24"/>
          <w:u w:val="none"/>
          <w:lang w:val="pt-BR"/>
          <w14:textFill>
            <w14:solidFill>
              <w14:schemeClr w14:val="tx1"/>
            </w14:solidFill>
          </w14:textFill>
        </w:rPr>
      </w:pPr>
    </w:p>
    <w:p w14:paraId="265D88EE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5.4 – Prazo de vigência da contratação:</w:t>
      </w:r>
    </w:p>
    <w:p w14:paraId="28E121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/>
          <w:sz w:val="24"/>
          <w:szCs w:val="24"/>
          <w:lang w:val="pt-BR"/>
        </w:rPr>
      </w:pPr>
      <w:r>
        <w:rPr>
          <w:rFonts w:hint="default" w:ascii="Times New Roman" w:hAnsi="Times New Roman"/>
          <w:sz w:val="24"/>
          <w:szCs w:val="24"/>
          <w:lang w:val="pt-BR"/>
        </w:rPr>
        <w:t>A</w:t>
      </w:r>
      <w:r>
        <w:rPr>
          <w:rFonts w:ascii="Times New Roman" w:hAnsi="Times New Roman"/>
          <w:sz w:val="24"/>
          <w:szCs w:val="24"/>
        </w:rPr>
        <w:t xml:space="preserve"> presente contrat</w:t>
      </w:r>
      <w:r>
        <w:rPr>
          <w:rFonts w:hint="default" w:ascii="Times New Roman" w:hAnsi="Times New Roman"/>
          <w:sz w:val="24"/>
          <w:szCs w:val="24"/>
          <w:lang w:val="pt-BR"/>
        </w:rPr>
        <w:t>ação</w:t>
      </w:r>
      <w:r>
        <w:rPr>
          <w:rFonts w:ascii="Times New Roman" w:hAnsi="Times New Roman"/>
          <w:sz w:val="24"/>
          <w:szCs w:val="24"/>
        </w:rPr>
        <w:t xml:space="preserve"> terá vigência de </w:t>
      </w:r>
      <w:r>
        <w:rPr>
          <w:rFonts w:hint="default" w:ascii="Times New Roman" w:hAnsi="Times New Roman"/>
          <w:sz w:val="24"/>
          <w:szCs w:val="24"/>
          <w:lang w:val="pt-BR"/>
        </w:rPr>
        <w:t>30</w:t>
      </w:r>
      <w:r>
        <w:rPr>
          <w:rFonts w:ascii="Times New Roman" w:hAnsi="Times New Roman"/>
          <w:sz w:val="24"/>
          <w:szCs w:val="24"/>
        </w:rPr>
        <w:t xml:space="preserve"> (trinta) dias, contados a partir da data de </w:t>
      </w:r>
      <w:r>
        <w:rPr>
          <w:rFonts w:hint="default" w:ascii="Times New Roman" w:hAnsi="Times New Roman"/>
          <w:sz w:val="24"/>
          <w:szCs w:val="24"/>
          <w:lang w:val="pt-BR"/>
        </w:rPr>
        <w:t>início do serviço.</w:t>
      </w:r>
    </w:p>
    <w:p w14:paraId="1E8249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/>
          <w:sz w:val="24"/>
          <w:szCs w:val="24"/>
          <w:lang w:val="pt-BR"/>
        </w:rPr>
      </w:pPr>
    </w:p>
    <w:p w14:paraId="0662EB46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5.5 – Demais informações necessárias para execução do objeto:</w:t>
      </w:r>
    </w:p>
    <w:p w14:paraId="494EE792">
      <w:pPr>
        <w:jc w:val="both"/>
        <w:rPr>
          <w:rFonts w:hint="default" w:ascii="Times New Roman" w:hAnsi="Times New Roman" w:cs="Times New Roman"/>
          <w:bCs/>
          <w:i/>
          <w:color w:val="FF0000"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pt-BR"/>
          <w14:textFill>
            <w14:solidFill>
              <w14:schemeClr w14:val="tx1"/>
            </w14:solidFill>
          </w14:textFill>
        </w:rPr>
        <w:t xml:space="preserve">Não há demais informações </w:t>
      </w:r>
    </w:p>
    <w:p w14:paraId="0158E430">
      <w:pPr>
        <w:autoSpaceDE w:val="0"/>
        <w:autoSpaceDN w:val="0"/>
        <w:adjustRightInd w:val="0"/>
        <w:jc w:val="both"/>
        <w:rPr>
          <w:rFonts w:ascii="Times New Roman" w:hAnsi="Times New Roman"/>
          <w:szCs w:val="28"/>
        </w:rPr>
      </w:pPr>
    </w:p>
    <w:p w14:paraId="7DADCC41">
      <w:pPr>
        <w:numPr>
          <w:ilvl w:val="0"/>
          <w:numId w:val="0"/>
        </w:numPr>
        <w:autoSpaceDE w:val="0"/>
        <w:autoSpaceDN w:val="0"/>
        <w:adjustRightInd w:val="0"/>
        <w:jc w:val="both"/>
        <w:rPr>
          <w:rFonts w:hint="default" w:ascii="Times New Roman" w:hAnsi="Times New Roman"/>
          <w:b w:val="0"/>
          <w:bCs w:val="0"/>
          <w:sz w:val="24"/>
          <w:szCs w:val="24"/>
          <w:lang w:val="pt-BR"/>
        </w:rPr>
      </w:pPr>
      <w:r>
        <w:rPr>
          <w:rFonts w:hint="default" w:ascii="Times New Roman" w:hAnsi="Times New Roman"/>
          <w:b/>
          <w:szCs w:val="28"/>
          <w:lang w:val="pt-BR"/>
        </w:rPr>
        <w:t>6-</w:t>
      </w:r>
      <w:r>
        <w:rPr>
          <w:rFonts w:ascii="Times New Roman" w:hAnsi="Times New Roman"/>
          <w:b/>
          <w:szCs w:val="28"/>
        </w:rPr>
        <w:t>Obrigações da contratada:</w:t>
      </w:r>
    </w:p>
    <w:p w14:paraId="26BD2B5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both"/>
        <w:textAlignment w:val="auto"/>
        <w:rPr>
          <w:rFonts w:hint="default" w:ascii="Times New Roman" w:hAnsi="Times New Roman" w:eastAsia="SimSun" w:cs="Times New Roman"/>
          <w:sz w:val="24"/>
          <w:szCs w:val="24"/>
          <w:lang w:val="pt-BR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 xml:space="preserve"> </w:t>
      </w:r>
      <w:r>
        <w:rPr>
          <w:rFonts w:ascii="Times New Roman" w:hAnsi="Times New Roman"/>
          <w:sz w:val="24"/>
          <w:szCs w:val="24"/>
        </w:rPr>
        <w:t>Executar os reparos que foram especificados no levantamento</w:t>
      </w:r>
      <w:r>
        <w:rPr>
          <w:rFonts w:hint="default" w:ascii="Times New Roman" w:hAnsi="Times New Roman"/>
          <w:sz w:val="24"/>
          <w:szCs w:val="24"/>
          <w:lang w:val="pt-BR"/>
        </w:rPr>
        <w:t xml:space="preserve"> (projeto, planilha orçamentária e memorial descritivo).</w:t>
      </w:r>
      <w:r>
        <w:rPr>
          <w:rFonts w:ascii="Times New Roman" w:hAnsi="Times New Roman"/>
          <w:sz w:val="24"/>
          <w:szCs w:val="24"/>
        </w:rPr>
        <w:t xml:space="preserve"> Zelar pela segurança dos profissionais executores e dos usuários do</w:t>
      </w:r>
      <w:r>
        <w:rPr>
          <w:rFonts w:hint="default" w:ascii="Times New Roman" w:hAnsi="Times New Roman"/>
          <w:sz w:val="24"/>
          <w:szCs w:val="24"/>
          <w:lang w:val="pt-BR"/>
        </w:rPr>
        <w:t xml:space="preserve"> prédio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hint="default" w:ascii="Times New Roman" w:hAnsi="Times New Roman"/>
          <w:sz w:val="24"/>
          <w:szCs w:val="24"/>
          <w:lang w:val="pt-BR"/>
        </w:rPr>
        <w:t xml:space="preserve"> Será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default" w:ascii="Times New Roman" w:hAnsi="Times New Roman"/>
          <w:sz w:val="24"/>
          <w:szCs w:val="24"/>
          <w:lang w:val="pt-BR"/>
        </w:rPr>
        <w:t>obrigatória a u</w:t>
      </w:r>
      <w:r>
        <w:rPr>
          <w:rFonts w:ascii="Times New Roman" w:hAnsi="Times New Roman"/>
          <w:sz w:val="24"/>
          <w:szCs w:val="24"/>
        </w:rPr>
        <w:t>tilização de equipamentos de segurança necessários para execução do serviço solicitado.</w:t>
      </w:r>
      <w:r>
        <w:rPr>
          <w:rFonts w:hint="default" w:ascii="Times New Roman" w:hAnsi="Times New Roman"/>
          <w:sz w:val="24"/>
          <w:szCs w:val="24"/>
          <w:lang w:val="pt-BR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pt-BR"/>
        </w:rPr>
        <w:t>A contratada deve cumprir todas as obrigações constantes deste Termo de Referência e sua proposta, assumindo como exclusivamente seus riscos e as despesas decorrentes da boa e perfeita execução do serviço. Efetuar a entrega do serviço em perfeitas condições, conforme especificações, prazo e local constantes no Termo de Referência e sua proposta,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pt-BR"/>
        </w:rPr>
        <w:t xml:space="preserve">Manter, durante toda a vigência da contratação, em compatibilidade com as obrigações assumidas, todas as condições de habilitação e qualificação exigidas. </w:t>
      </w:r>
      <w:r>
        <w:rPr>
          <w:rFonts w:hint="default" w:ascii="Times New Roman" w:hAnsi="Times New Roman" w:cs="Times New Roman"/>
          <w:bCs/>
          <w:sz w:val="24"/>
          <w:szCs w:val="24"/>
        </w:rPr>
        <w:t>Todo o material a ser empregado n</w:t>
      </w:r>
      <w:r>
        <w:rPr>
          <w:rFonts w:hint="default" w:ascii="Times New Roman" w:hAnsi="Times New Roman" w:cs="Times New Roman"/>
          <w:bCs/>
          <w:sz w:val="24"/>
          <w:szCs w:val="24"/>
          <w:lang w:val="pt-BR"/>
        </w:rPr>
        <w:t>a adequação</w:t>
      </w:r>
      <w:r>
        <w:rPr>
          <w:rFonts w:hint="default" w:ascii="Times New Roman" w:hAnsi="Times New Roman" w:cs="Times New Roman"/>
          <w:bCs/>
          <w:sz w:val="24"/>
          <w:szCs w:val="24"/>
        </w:rPr>
        <w:t xml:space="preserve"> e/ou substituições deverá ser fornecido pela empresa contratada, bem como todo o aparato de mobilização e desmobilização do serviço, sendo de responsabilidade da contratada o transporte, montagem e desmontagem de andaimes</w:t>
      </w:r>
      <w:r>
        <w:rPr>
          <w:rFonts w:hint="default" w:ascii="Times New Roman" w:hAnsi="Times New Roman" w:cs="Times New Roman"/>
          <w:bCs/>
          <w:sz w:val="24"/>
          <w:szCs w:val="24"/>
          <w:lang w:val="pt-BR"/>
        </w:rPr>
        <w:t xml:space="preserve">, EPI’s e ferramentas </w:t>
      </w:r>
      <w:r>
        <w:rPr>
          <w:rFonts w:hint="default" w:ascii="Times New Roman" w:hAnsi="Times New Roman" w:cs="Times New Roman"/>
          <w:bCs/>
          <w:sz w:val="24"/>
          <w:szCs w:val="24"/>
        </w:rPr>
        <w:t xml:space="preserve">e/ou equipamentos necessários </w:t>
      </w:r>
      <w:r>
        <w:rPr>
          <w:rFonts w:hint="default" w:ascii="Times New Roman" w:hAnsi="Times New Roman" w:cs="Times New Roman"/>
          <w:bCs/>
          <w:sz w:val="24"/>
          <w:szCs w:val="24"/>
          <w:lang w:val="pt-BR"/>
        </w:rPr>
        <w:t>para a execução do serviço. O descarte de entulho pós obra, bem como caçambas ficarão por conta da contratada, a mesma deve entregar a obra em perfeitas condições de uso.</w:t>
      </w:r>
    </w:p>
    <w:p w14:paraId="69BD0F80">
      <w:pPr>
        <w:jc w:val="both"/>
        <w:rPr>
          <w:rFonts w:hint="default" w:ascii="Times New Roman" w:hAnsi="Times New Roman" w:eastAsia="SimSun" w:cs="Times New Roman"/>
          <w:sz w:val="24"/>
          <w:szCs w:val="24"/>
          <w:lang w:val="pt-BR"/>
        </w:rPr>
      </w:pPr>
    </w:p>
    <w:p w14:paraId="77352588">
      <w:pPr>
        <w:numPr>
          <w:ilvl w:val="0"/>
          <w:numId w:val="3"/>
        </w:numPr>
        <w:ind w:left="0" w:leftChars="0" w:firstLine="0" w:firstLineChars="0"/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Gestão e Fiscalização:</w:t>
      </w:r>
    </w:p>
    <w:p w14:paraId="51F37742">
      <w:pPr>
        <w:numPr>
          <w:ilvl w:val="0"/>
          <w:numId w:val="0"/>
        </w:numPr>
        <w:ind w:left="16" w:leftChars="0" w:hanging="16" w:hangingChars="7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G</w:t>
      </w:r>
      <w:r>
        <w:rPr>
          <w:rFonts w:hint="default" w:ascii="Times New Roman" w:hAnsi="Times New Roman" w:eastAsia="SimSun" w:cs="Times New Roman"/>
          <w:sz w:val="24"/>
          <w:szCs w:val="24"/>
        </w:rPr>
        <w:t>estão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: Edislon Valejo -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Secretario de Agricultura e Meio Ambiente</w:t>
      </w:r>
    </w:p>
    <w:p w14:paraId="46B479E1">
      <w:pPr>
        <w:numPr>
          <w:ilvl w:val="0"/>
          <w:numId w:val="0"/>
        </w:numPr>
        <w:ind w:left="16" w:leftChars="0" w:hanging="16" w:hangingChars="7"/>
        <w:jc w:val="both"/>
        <w:rPr>
          <w:rFonts w:hint="default" w:ascii="Times New Roman" w:hAnsi="Times New Roman" w:cs="Times New Roman"/>
          <w:b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Fiscalização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: Aline Jose da Silva - diretora de Agricultura e Meio Ambiente -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CPF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385</w:t>
      </w:r>
      <w:r>
        <w:rPr>
          <w:rFonts w:hint="default" w:ascii="Times New Roman" w:hAnsi="Times New Roman" w:eastAsia="SimSun" w:cs="Times New Roman"/>
          <w:sz w:val="24"/>
          <w:szCs w:val="24"/>
        </w:rPr>
        <w:t>.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XXX</w:t>
      </w:r>
      <w:r>
        <w:rPr>
          <w:rFonts w:hint="default" w:ascii="Times New Roman" w:hAnsi="Times New Roman" w:eastAsia="SimSun" w:cs="Times New Roman"/>
          <w:sz w:val="24"/>
          <w:szCs w:val="24"/>
        </w:rPr>
        <w:t>.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XXX</w:t>
      </w:r>
      <w:r>
        <w:rPr>
          <w:rFonts w:hint="default" w:ascii="Times New Roman" w:hAnsi="Times New Roman" w:eastAsia="SimSun" w:cs="Times New Roman"/>
          <w:sz w:val="24"/>
          <w:szCs w:val="24"/>
        </w:rPr>
        <w:t>-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63,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onde será responsável por acompanhar a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4"/>
          <w:szCs w:val="24"/>
        </w:rPr>
        <w:t>execução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 xml:space="preserve"> do serviço e </w:t>
      </w:r>
      <w:r>
        <w:rPr>
          <w:rFonts w:hint="default" w:ascii="Times New Roman" w:hAnsi="Times New Roman" w:eastAsia="SimSun" w:cs="Times New Roman"/>
          <w:sz w:val="24"/>
          <w:szCs w:val="24"/>
        </w:rPr>
        <w:t>o cumprimento das obrigações estipuladas n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a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presente c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 xml:space="preserve">ontratação </w:t>
      </w:r>
      <w:r>
        <w:rPr>
          <w:rFonts w:hint="default" w:ascii="Times New Roman" w:hAnsi="Times New Roman" w:eastAsia="SimSun" w:cs="Times New Roman"/>
          <w:sz w:val="24"/>
          <w:szCs w:val="24"/>
        </w:rPr>
        <w:t>e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4"/>
          <w:szCs w:val="24"/>
        </w:rPr>
        <w:t>demais das atribuições necessárias para garantir o êxito da contratação.</w:t>
      </w:r>
    </w:p>
    <w:p w14:paraId="07D3EA9C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</w:p>
    <w:p w14:paraId="0898CEAD">
      <w:pPr>
        <w:numPr>
          <w:ilvl w:val="0"/>
          <w:numId w:val="0"/>
        </w:numPr>
        <w:ind w:leftChars="0"/>
        <w:jc w:val="both"/>
        <w:rPr>
          <w:rFonts w:ascii="Times New Roman" w:hAnsi="Times New Roman"/>
          <w:b/>
          <w:szCs w:val="28"/>
        </w:rPr>
      </w:pPr>
      <w:r>
        <w:rPr>
          <w:rFonts w:hint="default" w:ascii="Times New Roman" w:hAnsi="Times New Roman"/>
          <w:b/>
          <w:szCs w:val="28"/>
          <w:lang w:val="pt-BR"/>
        </w:rPr>
        <w:t>8-</w:t>
      </w:r>
      <w:r>
        <w:rPr>
          <w:rFonts w:ascii="Times New Roman" w:hAnsi="Times New Roman"/>
          <w:b/>
          <w:szCs w:val="28"/>
        </w:rPr>
        <w:t>Outras informações:</w:t>
      </w:r>
    </w:p>
    <w:p w14:paraId="4B69F982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Telefone (18) 99683-7329</w:t>
      </w:r>
    </w:p>
    <w:p w14:paraId="74852530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 xml:space="preserve">Email: </w:t>
      </w:r>
      <w:r>
        <w:rPr>
          <w:rFonts w:hint="default" w:ascii="Times New Roman" w:hAnsi="Times New Roman"/>
          <w:szCs w:val="28"/>
          <w:lang w:val="pt-BR"/>
        </w:rPr>
        <w:fldChar w:fldCharType="begin"/>
      </w:r>
      <w:r>
        <w:rPr>
          <w:rFonts w:hint="default" w:ascii="Times New Roman" w:hAnsi="Times New Roman"/>
          <w:szCs w:val="28"/>
          <w:lang w:val="pt-BR"/>
        </w:rPr>
        <w:instrText xml:space="preserve"> HYPERLINK "mailto:meioambiente@quata.sp.gov.br" </w:instrText>
      </w:r>
      <w:r>
        <w:rPr>
          <w:rFonts w:hint="default" w:ascii="Times New Roman" w:hAnsi="Times New Roman"/>
          <w:szCs w:val="28"/>
          <w:lang w:val="pt-BR"/>
        </w:rPr>
        <w:fldChar w:fldCharType="separate"/>
      </w:r>
      <w:r>
        <w:rPr>
          <w:rStyle w:val="7"/>
          <w:rFonts w:hint="default" w:ascii="Times New Roman" w:hAnsi="Times New Roman"/>
          <w:szCs w:val="28"/>
          <w:lang w:val="pt-BR"/>
        </w:rPr>
        <w:t>meioambiente@quata.sp.gov.br</w:t>
      </w:r>
      <w:r>
        <w:rPr>
          <w:rFonts w:hint="default" w:ascii="Times New Roman" w:hAnsi="Times New Roman"/>
          <w:szCs w:val="28"/>
          <w:lang w:val="pt-BR"/>
        </w:rPr>
        <w:fldChar w:fldCharType="end"/>
      </w:r>
    </w:p>
    <w:p w14:paraId="4C89EA8B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10A08A6C">
      <w:pPr>
        <w:numPr>
          <w:ilvl w:val="0"/>
          <w:numId w:val="4"/>
        </w:numPr>
        <w:jc w:val="both"/>
        <w:rPr>
          <w:rFonts w:hint="default" w:ascii="Times New Roman" w:hAnsi="Times New Roman"/>
          <w:b/>
          <w:bCs/>
          <w:szCs w:val="28"/>
          <w:lang w:val="pt-BR"/>
        </w:rPr>
      </w:pPr>
      <w:r>
        <w:rPr>
          <w:rFonts w:hint="default" w:ascii="Times New Roman" w:hAnsi="Times New Roman"/>
          <w:b/>
          <w:bCs/>
          <w:szCs w:val="28"/>
          <w:lang w:val="pt-BR"/>
        </w:rPr>
        <w:t>Anexos:</w:t>
      </w:r>
    </w:p>
    <w:p w14:paraId="7AEC812F">
      <w:pPr>
        <w:numPr>
          <w:numId w:val="0"/>
        </w:numPr>
        <w:jc w:val="both"/>
        <w:rPr>
          <w:rFonts w:hint="default" w:ascii="Times New Roman" w:hAnsi="Times New Roman"/>
          <w:b w:val="0"/>
          <w:bCs w:val="0"/>
          <w:sz w:val="24"/>
          <w:szCs w:val="24"/>
          <w:lang w:val="pt-BR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pt-BR"/>
        </w:rPr>
        <w:t>Segue anexo ao processo, projeto básico, planilha orçamentária e memorial descritivo.</w:t>
      </w:r>
    </w:p>
    <w:p w14:paraId="25BD4E93">
      <w:pPr>
        <w:numPr>
          <w:numId w:val="0"/>
        </w:numPr>
        <w:jc w:val="both"/>
        <w:rPr>
          <w:rFonts w:hint="default" w:ascii="Times New Roman" w:hAnsi="Times New Roman"/>
          <w:b/>
          <w:bCs/>
          <w:szCs w:val="28"/>
          <w:lang w:val="pt-BR"/>
        </w:rPr>
      </w:pPr>
      <w:r>
        <w:rPr>
          <w:rFonts w:ascii="Times New Roman" w:hAnsi="Times New Roman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1746250</wp:posOffset>
            </wp:positionH>
            <wp:positionV relativeFrom="paragraph">
              <wp:posOffset>84455</wp:posOffset>
            </wp:positionV>
            <wp:extent cx="2638425" cy="2238375"/>
            <wp:effectExtent l="0" t="0" r="13335" b="1905"/>
            <wp:wrapNone/>
            <wp:docPr id="2" name="Imagem 2" descr="Captura de tela 2025-01-09 142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Captura de tela 2025-01-09 14292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A48126">
      <w:pPr>
        <w:numPr>
          <w:ilvl w:val="0"/>
          <w:numId w:val="0"/>
        </w:numPr>
        <w:jc w:val="both"/>
        <w:rPr>
          <w:rFonts w:hint="default" w:ascii="Times New Roman" w:hAnsi="Times New Roman"/>
          <w:b/>
          <w:bCs/>
          <w:szCs w:val="28"/>
          <w:lang w:val="pt-BR"/>
        </w:rPr>
      </w:pPr>
    </w:p>
    <w:p w14:paraId="47402786">
      <w:pPr>
        <w:jc w:val="right"/>
        <w:rPr>
          <w:rFonts w:hint="default" w:ascii="Times New Roman" w:hAnsi="Times New Roman"/>
          <w:szCs w:val="28"/>
          <w:lang w:val="pt-BR"/>
        </w:rPr>
      </w:pPr>
      <w:r>
        <w:rPr>
          <w:rFonts w:ascii="Times New Roman" w:hAnsi="Times New Roman"/>
          <w:i w:val="0"/>
          <w:iCs w:val="0"/>
          <w:szCs w:val="28"/>
          <w:u w:val="none"/>
        </w:rPr>
        <w:t>Quatá/SP,</w:t>
      </w:r>
      <w:r>
        <w:rPr>
          <w:rFonts w:hint="default" w:ascii="Times New Roman" w:hAnsi="Times New Roman"/>
          <w:i w:val="0"/>
          <w:iCs w:val="0"/>
          <w:szCs w:val="28"/>
          <w:u w:val="none"/>
          <w:lang w:val="pt-BR"/>
        </w:rPr>
        <w:t xml:space="preserve"> 21 de janeiro </w:t>
      </w:r>
      <w:r>
        <w:rPr>
          <w:rFonts w:ascii="Times New Roman" w:hAnsi="Times New Roman"/>
          <w:i w:val="0"/>
          <w:iCs w:val="0"/>
          <w:szCs w:val="28"/>
          <w:u w:val="none"/>
        </w:rPr>
        <w:t xml:space="preserve"> 20</w:t>
      </w:r>
      <w:r>
        <w:rPr>
          <w:rFonts w:hint="default" w:ascii="Times New Roman" w:hAnsi="Times New Roman"/>
          <w:i w:val="0"/>
          <w:iCs w:val="0"/>
          <w:szCs w:val="28"/>
          <w:u w:val="none"/>
          <w:lang w:val="pt-BR"/>
        </w:rPr>
        <w:t>25</w:t>
      </w:r>
    </w:p>
    <w:p w14:paraId="2BF379F4">
      <w:pPr>
        <w:jc w:val="both"/>
        <w:rPr>
          <w:rFonts w:ascii="Times New Roman" w:hAnsi="Times New Roman"/>
          <w:sz w:val="24"/>
        </w:rPr>
      </w:pPr>
      <w:r>
        <w:rPr>
          <w:rFonts w:hint="default" w:ascii="Times New Roman" w:hAnsi="Times New Roman"/>
          <w:szCs w:val="28"/>
          <w:lang w:val="pt-BR"/>
        </w:rPr>
        <w:t xml:space="preserve">                                        </w:t>
      </w:r>
    </w:p>
    <w:p w14:paraId="0D28B19B">
      <w:pPr>
        <w:jc w:val="center"/>
        <w:rPr>
          <w:rFonts w:ascii="Times New Roman" w:hAnsi="Times New Roman"/>
          <w:sz w:val="24"/>
        </w:rPr>
      </w:pPr>
    </w:p>
    <w:p w14:paraId="62F078BE">
      <w:pPr>
        <w:jc w:val="center"/>
        <w:rPr>
          <w:rFonts w:ascii="Times New Roman" w:hAnsi="Times New Roman"/>
          <w:bCs/>
          <w:sz w:val="24"/>
        </w:rPr>
      </w:pPr>
    </w:p>
    <w:p w14:paraId="5807BBBD">
      <w:pPr>
        <w:jc w:val="center"/>
        <w:rPr>
          <w:rFonts w:ascii="Times New Roman" w:hAnsi="Times New Roman"/>
          <w:bCs/>
          <w:sz w:val="24"/>
        </w:rPr>
      </w:pPr>
    </w:p>
    <w:p w14:paraId="3F2BD1D2">
      <w:pPr>
        <w:jc w:val="center"/>
        <w:rPr>
          <w:rFonts w:ascii="Times New Roman" w:hAnsi="Times New Roman"/>
          <w:bCs/>
          <w:sz w:val="24"/>
        </w:rPr>
      </w:pPr>
    </w:p>
    <w:p w14:paraId="52A2665B">
      <w:pPr>
        <w:jc w:val="center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______________________________</w:t>
      </w:r>
    </w:p>
    <w:p w14:paraId="178724C9">
      <w:pPr>
        <w:jc w:val="center"/>
        <w:rPr>
          <w:rFonts w:hint="default" w:ascii="Times New Roman" w:hAnsi="Times New Roman"/>
          <w:bCs/>
          <w:sz w:val="24"/>
          <w:lang w:val="pt-BR"/>
        </w:rPr>
      </w:pPr>
      <w:r>
        <w:rPr>
          <w:rFonts w:hint="default" w:ascii="Times New Roman" w:hAnsi="Times New Roman"/>
          <w:bCs/>
          <w:sz w:val="24"/>
          <w:lang w:val="pt-BR"/>
        </w:rPr>
        <w:t>Edilson Valejo</w:t>
      </w:r>
    </w:p>
    <w:p w14:paraId="5DAADB93">
      <w:pPr>
        <w:jc w:val="center"/>
        <w:rPr>
          <w:rFonts w:hint="default" w:ascii="Times New Roman" w:hAnsi="Times New Roman"/>
          <w:b/>
          <w:sz w:val="24"/>
          <w:lang w:val="pt-BR"/>
        </w:rPr>
      </w:pPr>
      <w:r>
        <w:rPr>
          <w:rFonts w:ascii="Times New Roman" w:hAnsi="Times New Roman"/>
          <w:b/>
          <w:sz w:val="24"/>
        </w:rPr>
        <w:t>Secretári</w:t>
      </w:r>
      <w:r>
        <w:rPr>
          <w:rFonts w:hint="default" w:ascii="Times New Roman" w:hAnsi="Times New Roman"/>
          <w:b/>
          <w:sz w:val="24"/>
          <w:lang w:val="pt-BR"/>
        </w:rPr>
        <w:t>o de Agricultura e Meio ambiente</w:t>
      </w:r>
    </w:p>
    <w:p w14:paraId="4B34F778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0CE66664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2911AF89">
      <w:pPr>
        <w:jc w:val="center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1875790</wp:posOffset>
            </wp:positionH>
            <wp:positionV relativeFrom="paragraph">
              <wp:posOffset>-432435</wp:posOffset>
            </wp:positionV>
            <wp:extent cx="2468880" cy="846455"/>
            <wp:effectExtent l="0" t="0" r="0" b="6985"/>
            <wp:wrapNone/>
            <wp:docPr id="8" name="Imagem 8" descr="Captura de tela 2024-03-08 121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 descr="Captura de tela 2024-03-08 12100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68880" cy="84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/>
          <w:szCs w:val="28"/>
          <w:lang w:val="pt-BR"/>
        </w:rPr>
        <w:t>________________________</w:t>
      </w:r>
    </w:p>
    <w:p w14:paraId="4E020FDC">
      <w:pPr>
        <w:jc w:val="center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Aline Jose da Silva</w:t>
      </w:r>
    </w:p>
    <w:p w14:paraId="7038EA5E">
      <w:pPr>
        <w:jc w:val="center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Diretora de Agricultura e Meio Ambiente</w:t>
      </w:r>
      <w:bookmarkStart w:id="0" w:name="_GoBack"/>
      <w:bookmarkEnd w:id="0"/>
    </w:p>
    <w:sectPr>
      <w:headerReference r:id="rId5" w:type="default"/>
      <w:footerReference r:id="rId6" w:type="default"/>
      <w:footerReference r:id="rId7" w:type="even"/>
      <w:pgSz w:w="11907" w:h="16840"/>
      <w:pgMar w:top="2099" w:right="851" w:bottom="964" w:left="1588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73DF6E">
    <w:pPr>
      <w:pStyle w:val="1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8</w:t>
    </w:r>
    <w:r>
      <w:rPr>
        <w:rStyle w:val="8"/>
      </w:rPr>
      <w:fldChar w:fldCharType="end"/>
    </w:r>
  </w:p>
  <w:p w14:paraId="64AC00AD">
    <w:pPr>
      <w:pStyle w:val="13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8466C3A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68466C3A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F65386">
    <w:pPr>
      <w:pStyle w:val="1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58673B33">
    <w:pPr>
      <w:pStyle w:val="1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565FDD">
    <w:pPr>
      <w:framePr w:hSpace="142" w:wrap="auto" w:vAnchor="text" w:hAnchor="page" w:x="1189" w:y="-226"/>
    </w:pPr>
  </w:p>
  <w:p w14:paraId="2D26F322">
    <w:pPr>
      <w:tabs>
        <w:tab w:val="center" w:pos="4252"/>
        <w:tab w:val="right" w:pos="8504"/>
      </w:tabs>
      <w:rPr>
        <w:rFonts w:ascii="Bell MT" w:hAnsi="Bell MT"/>
        <w:b/>
        <w:sz w:val="40"/>
        <w:szCs w:val="40"/>
      </w:rPr>
    </w:pPr>
    <w:r>
      <w:pict>
        <v:shape id="_x0000_s2049" o:spid="_x0000_s2049" o:spt="75" type="#_x0000_t75" style="position:absolute;left:0pt;margin-left:-61.7pt;margin-top:-13pt;height:84.5pt;width:93.9pt;z-index:-251656192;mso-width-relative:page;mso-height-relative:page;" o:ole="t" filled="f" o:preferrelative="t" stroked="f" coordsize="21600,21600">
          <v:path/>
          <v:fill on="f" focussize="0,0"/>
          <v:stroke on="f"/>
          <v:imagedata r:id="rId2" o:title=""/>
          <o:lock v:ext="edit" aspectratio="t"/>
        </v:shape>
        <o:OLEObject Type="Embed" ProgID="PBrush" ShapeID="_x0000_s2049" DrawAspect="Content" ObjectID="_1468075725" r:id="rId1">
          <o:LockedField>false</o:LockedField>
        </o:OLEObject>
      </w:pict>
    </w:r>
    <w:r>
      <w:rPr>
        <w:rFonts w:ascii="Bell MT" w:hAnsi="Bell MT"/>
        <w:b/>
        <w:sz w:val="40"/>
        <w:szCs w:val="40"/>
      </w:rPr>
      <w:t xml:space="preserve">    </w:t>
    </w:r>
    <w:r>
      <w:rPr>
        <w:rFonts w:hint="default" w:ascii="Bell MT" w:hAnsi="Bell MT"/>
        <w:b/>
        <w:sz w:val="40"/>
        <w:szCs w:val="40"/>
        <w:lang w:val="pt-BR"/>
      </w:rPr>
      <w:t xml:space="preserve">        PREF</w:t>
    </w:r>
    <w:r>
      <w:rPr>
        <w:rFonts w:ascii="Bell MT" w:hAnsi="Bell MT"/>
        <w:b/>
        <w:sz w:val="40"/>
        <w:szCs w:val="40"/>
      </w:rPr>
      <w:t>EITURA MUNICIPAL DE QUATÁ</w:t>
    </w:r>
  </w:p>
  <w:p w14:paraId="1C830590">
    <w:pPr>
      <w:pStyle w:val="12"/>
      <w:rPr>
        <w:rFonts w:hint="default"/>
        <w:lang w:val="pt-BR"/>
      </w:rPr>
    </w:pPr>
    <w:r>
      <w:rPr>
        <w:rFonts w:ascii="Bell MT" w:hAnsi="Bell MT"/>
        <w:b/>
        <w:bCs/>
        <w:szCs w:val="24"/>
      </w:rPr>
      <w:t xml:space="preserve">                       </w:t>
    </w:r>
    <w:r>
      <w:rPr>
        <w:rFonts w:hint="default" w:ascii="Bell MT" w:hAnsi="Bell MT"/>
        <w:b/>
        <w:bCs/>
        <w:szCs w:val="24"/>
        <w:lang w:val="pt-BR"/>
      </w:rPr>
      <w:t xml:space="preserve"> </w:t>
    </w:r>
    <w:r>
      <w:rPr>
        <w:rFonts w:ascii="Bell MT" w:hAnsi="Bell MT"/>
        <w:b/>
        <w:bCs/>
        <w:szCs w:val="24"/>
      </w:rPr>
      <w:t xml:space="preserve"> </w:t>
    </w:r>
    <w:r>
      <w:rPr>
        <w:rFonts w:hint="default" w:ascii="Bell MT" w:hAnsi="Bell MT"/>
        <w:b/>
        <w:bCs/>
        <w:szCs w:val="24"/>
        <w:lang w:val="pt-BR"/>
      </w:rPr>
      <w:t xml:space="preserve"> </w:t>
    </w:r>
    <w:r>
      <w:rPr>
        <w:rFonts w:ascii="Bell MT" w:hAnsi="Bell MT"/>
        <w:b/>
        <w:bCs/>
        <w:sz w:val="32"/>
        <w:szCs w:val="32"/>
      </w:rPr>
      <w:t xml:space="preserve">Secretaria </w:t>
    </w:r>
    <w:r>
      <w:rPr>
        <w:rFonts w:hint="default" w:ascii="Bell MT" w:hAnsi="Bell MT"/>
        <w:b/>
        <w:bCs/>
        <w:sz w:val="32"/>
        <w:szCs w:val="32"/>
        <w:lang w:val="pt-BR"/>
      </w:rPr>
      <w:t>de Agricultura e Meio Ambiente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7FF355"/>
    <w:multiLevelType w:val="singleLevel"/>
    <w:tmpl w:val="927FF355"/>
    <w:lvl w:ilvl="0" w:tentative="0">
      <w:start w:val="4"/>
      <w:numFmt w:val="decimal"/>
      <w:suff w:val="space"/>
      <w:lvlText w:val="%1-"/>
      <w:lvlJc w:val="left"/>
    </w:lvl>
  </w:abstractNum>
  <w:abstractNum w:abstractNumId="1">
    <w:nsid w:val="FC8260EA"/>
    <w:multiLevelType w:val="singleLevel"/>
    <w:tmpl w:val="FC8260EA"/>
    <w:lvl w:ilvl="0" w:tentative="0">
      <w:start w:val="9"/>
      <w:numFmt w:val="decimal"/>
      <w:suff w:val="nothing"/>
      <w:lvlText w:val="%1-"/>
      <w:lvlJc w:val="left"/>
    </w:lvl>
  </w:abstractNum>
  <w:abstractNum w:abstractNumId="2">
    <w:nsid w:val="18A09120"/>
    <w:multiLevelType w:val="singleLevel"/>
    <w:tmpl w:val="18A09120"/>
    <w:lvl w:ilvl="0" w:tentative="0">
      <w:start w:val="6"/>
      <w:numFmt w:val="decimal"/>
      <w:suff w:val="space"/>
      <w:lvlText w:val="%1-"/>
      <w:lvlJc w:val="left"/>
      <w:pPr>
        <w:ind w:left="280"/>
      </w:pPr>
    </w:lvl>
  </w:abstractNum>
  <w:abstractNum w:abstractNumId="3">
    <w:nsid w:val="7B777782"/>
    <w:multiLevelType w:val="singleLevel"/>
    <w:tmpl w:val="7B777782"/>
    <w:lvl w:ilvl="0" w:tentative="0">
      <w:start w:val="2"/>
      <w:numFmt w:val="decimal"/>
      <w:suff w:val="space"/>
      <w:lvlText w:val="%1-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6205114"/>
    <w:rsid w:val="0CA30B4B"/>
    <w:rsid w:val="127335C9"/>
    <w:rsid w:val="129405C5"/>
    <w:rsid w:val="14B704B7"/>
    <w:rsid w:val="16D63DA7"/>
    <w:rsid w:val="18A846AE"/>
    <w:rsid w:val="25AA1634"/>
    <w:rsid w:val="2C4D32B1"/>
    <w:rsid w:val="2E3C4438"/>
    <w:rsid w:val="3129058E"/>
    <w:rsid w:val="37921BBD"/>
    <w:rsid w:val="3B213A41"/>
    <w:rsid w:val="3B2A0822"/>
    <w:rsid w:val="417D18BA"/>
    <w:rsid w:val="4222483D"/>
    <w:rsid w:val="432E5A82"/>
    <w:rsid w:val="45F45853"/>
    <w:rsid w:val="47E12678"/>
    <w:rsid w:val="48291F84"/>
    <w:rsid w:val="49E16837"/>
    <w:rsid w:val="56D35D9B"/>
    <w:rsid w:val="5C407ED9"/>
    <w:rsid w:val="603963DC"/>
    <w:rsid w:val="611F2767"/>
    <w:rsid w:val="66955152"/>
    <w:rsid w:val="679F1409"/>
    <w:rsid w:val="67CB6FF5"/>
    <w:rsid w:val="741A22F1"/>
    <w:rsid w:val="760164A2"/>
    <w:rsid w:val="7903440E"/>
    <w:rsid w:val="7B5929A6"/>
    <w:rsid w:val="7C2D6FD3"/>
    <w:rsid w:val="7DDE0BF1"/>
    <w:rsid w:val="7E25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autoRedefine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4"/>
    <w:basedOn w:val="1"/>
    <w:next w:val="1"/>
    <w:link w:val="16"/>
    <w:autoRedefine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3">
    <w:name w:val="heading 5"/>
    <w:basedOn w:val="1"/>
    <w:next w:val="1"/>
    <w:link w:val="17"/>
    <w:autoRedefine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Emphasis"/>
    <w:basedOn w:val="4"/>
    <w:autoRedefine/>
    <w:qFormat/>
    <w:uiPriority w:val="0"/>
    <w:rPr>
      <w:i/>
      <w:iCs/>
    </w:rPr>
  </w:style>
  <w:style w:type="character" w:styleId="7">
    <w:name w:val="Hyperlink"/>
    <w:basedOn w:val="4"/>
    <w:autoRedefine/>
    <w:semiHidden/>
    <w:unhideWhenUsed/>
    <w:qFormat/>
    <w:uiPriority w:val="99"/>
    <w:rPr>
      <w:color w:val="0000FF"/>
      <w:u w:val="single"/>
    </w:rPr>
  </w:style>
  <w:style w:type="character" w:styleId="8">
    <w:name w:val="page number"/>
    <w:basedOn w:val="4"/>
    <w:autoRedefine/>
    <w:qFormat/>
    <w:uiPriority w:val="0"/>
  </w:style>
  <w:style w:type="paragraph" w:styleId="9">
    <w:name w:val="Body Text Indent 2"/>
    <w:basedOn w:val="1"/>
    <w:link w:val="21"/>
    <w:autoRedefine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0">
    <w:name w:val="HTML Preformatted"/>
    <w:basedOn w:val="1"/>
    <w:link w:val="23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1">
    <w:name w:val="Body Text 2"/>
    <w:basedOn w:val="1"/>
    <w:link w:val="22"/>
    <w:autoRedefine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2">
    <w:name w:val="header"/>
    <w:basedOn w:val="1"/>
    <w:link w:val="18"/>
    <w:autoRedefine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3">
    <w:name w:val="footer"/>
    <w:basedOn w:val="1"/>
    <w:link w:val="19"/>
    <w:autoRedefine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4">
    <w:name w:val="Body Text Indent"/>
    <w:basedOn w:val="1"/>
    <w:link w:val="20"/>
    <w:autoRedefine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5">
    <w:name w:val="Table Grid"/>
    <w:basedOn w:val="5"/>
    <w:autoRedefine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Título 4 Char"/>
    <w:basedOn w:val="4"/>
    <w:link w:val="2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7">
    <w:name w:val="Título 5 Char"/>
    <w:basedOn w:val="4"/>
    <w:link w:val="3"/>
    <w:autoRedefine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18">
    <w:name w:val="Cabeçalho Char"/>
    <w:basedOn w:val="4"/>
    <w:link w:val="12"/>
    <w:autoRedefine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19">
    <w:name w:val="Rodapé Char"/>
    <w:basedOn w:val="4"/>
    <w:link w:val="13"/>
    <w:autoRedefine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0">
    <w:name w:val="Recuo de corpo de texto Char"/>
    <w:basedOn w:val="4"/>
    <w:link w:val="14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1">
    <w:name w:val="Recuo de corpo de texto 2 Char"/>
    <w:basedOn w:val="4"/>
    <w:link w:val="9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2">
    <w:name w:val="Corpo de texto 2 Char"/>
    <w:basedOn w:val="4"/>
    <w:link w:val="11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3">
    <w:name w:val="Pré-formatação HTML Char"/>
    <w:basedOn w:val="4"/>
    <w:link w:val="10"/>
    <w:autoRedefine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4">
    <w:name w:val="fontstyle01"/>
    <w:basedOn w:val="4"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5">
    <w:name w:val="fontstyle21"/>
    <w:basedOn w:val="4"/>
    <w:autoRedefine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6">
    <w:name w:val="Text body"/>
    <w:basedOn w:val="1"/>
    <w:autoRedefine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7">
    <w:name w:val="List Paragraph"/>
    <w:basedOn w:val="1"/>
    <w:autoRedefine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28">
    <w:name w:val="Standard"/>
    <w:autoRedefine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29">
    <w:name w:val="WW-Corpo de texto 3"/>
    <w:basedOn w:val="1"/>
    <w:autoRedefine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837</Words>
  <Characters>4523</Characters>
  <Lines>37</Lines>
  <Paragraphs>10</Paragraphs>
  <TotalTime>20</TotalTime>
  <ScaleCrop>false</ScaleCrop>
  <LinksUpToDate>false</LinksUpToDate>
  <CharactersWithSpaces>5350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WPS_1709836275</cp:lastModifiedBy>
  <cp:lastPrinted>2024-06-21T13:23:00Z</cp:lastPrinted>
  <dcterms:modified xsi:type="dcterms:W3CDTF">2025-02-11T17:08:58Z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1046-12.2.0.19805</vt:lpwstr>
  </property>
  <property fmtid="{D5CDD505-2E9C-101B-9397-08002B2CF9AE}" pid="3" name="ICV">
    <vt:lpwstr>BBAFFE74012943938C15B42B0A2DF81A_13</vt:lpwstr>
  </property>
</Properties>
</file>